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52F" w:rsidRDefault="006E552F" w:rsidP="006E552F">
      <w:pPr>
        <w:pStyle w:val="m728641700791804976gmail-m3004818792714494984gmail-msonormal"/>
        <w:shd w:val="clear" w:color="auto" w:fill="FFFFFF"/>
        <w:spacing w:after="0" w:afterAutospacing="0"/>
        <w:rPr>
          <w:rFonts w:ascii="Arial" w:hAnsi="Arial" w:cs="Arial"/>
          <w:color w:val="222222"/>
          <w:sz w:val="19"/>
          <w:szCs w:val="19"/>
        </w:rPr>
      </w:pPr>
      <w:r>
        <w:rPr>
          <w:rFonts w:ascii="Arial" w:hAnsi="Arial" w:cs="Arial"/>
          <w:i/>
          <w:iCs/>
          <w:color w:val="222222"/>
          <w:sz w:val="19"/>
          <w:szCs w:val="19"/>
        </w:rPr>
        <w:t>18 December 2017</w:t>
      </w:r>
    </w:p>
    <w:p w:rsidR="006E552F" w:rsidRDefault="006E552F" w:rsidP="006E552F">
      <w:pPr>
        <w:pStyle w:val="m728641700791804976gmail-m3004818792714494984gmail-msonormal"/>
        <w:shd w:val="clear" w:color="auto" w:fill="FFFFFF"/>
        <w:spacing w:after="0" w:afterAutospacing="0"/>
        <w:rPr>
          <w:rFonts w:ascii="Arial" w:hAnsi="Arial" w:cs="Arial"/>
          <w:color w:val="222222"/>
          <w:sz w:val="19"/>
          <w:szCs w:val="19"/>
        </w:rPr>
      </w:pPr>
      <w:r>
        <w:rPr>
          <w:rFonts w:ascii="Arial" w:hAnsi="Arial" w:cs="Arial"/>
          <w:color w:val="222222"/>
          <w:sz w:val="19"/>
          <w:szCs w:val="19"/>
        </w:rPr>
        <w:t xml:space="preserve">In an unequal world, conditions of living that promote ill-health and extreme inequity in access to healthcare services prevents a majority of the world’s population from leading healthy lives. The collapse of public health systems in many parts of the world and the rising </w:t>
      </w:r>
      <w:proofErr w:type="spellStart"/>
      <w:r>
        <w:rPr>
          <w:rFonts w:ascii="Arial" w:hAnsi="Arial" w:cs="Arial"/>
          <w:color w:val="222222"/>
          <w:sz w:val="19"/>
          <w:szCs w:val="19"/>
        </w:rPr>
        <w:t>commodification</w:t>
      </w:r>
      <w:proofErr w:type="spellEnd"/>
      <w:r>
        <w:rPr>
          <w:rFonts w:ascii="Arial" w:hAnsi="Arial" w:cs="Arial"/>
          <w:color w:val="222222"/>
          <w:sz w:val="19"/>
          <w:szCs w:val="19"/>
        </w:rPr>
        <w:t xml:space="preserve"> of healthcare in several regions, depict the inability of the current neoliberal order to address the rising crisis in health.  Accompanying these trends is a global order where governance for health is being held captive by private foundations and corporations. This is the context that informs the contents of the 2017 Global Health Watch (</w:t>
      </w:r>
      <w:r>
        <w:rPr>
          <w:rStyle w:val="il"/>
          <w:rFonts w:ascii="Arial" w:hAnsi="Arial" w:cs="Arial"/>
          <w:color w:val="222222"/>
          <w:sz w:val="19"/>
          <w:szCs w:val="19"/>
        </w:rPr>
        <w:t>GHW</w:t>
      </w:r>
      <w:r>
        <w:rPr>
          <w:rFonts w:ascii="Arial" w:hAnsi="Arial" w:cs="Arial"/>
          <w:color w:val="222222"/>
          <w:sz w:val="19"/>
          <w:szCs w:val="19"/>
        </w:rPr>
        <w:t>) report.</w:t>
      </w:r>
    </w:p>
    <w:p w:rsidR="006E552F" w:rsidRDefault="006E552F" w:rsidP="006E552F">
      <w:pPr>
        <w:pStyle w:val="m728641700791804976gmail-m3004818792714494984gmail-msonormal"/>
        <w:shd w:val="clear" w:color="auto" w:fill="FFFFFF"/>
        <w:spacing w:after="0" w:afterAutospacing="0"/>
        <w:rPr>
          <w:rFonts w:ascii="Arial" w:hAnsi="Arial" w:cs="Arial"/>
          <w:color w:val="222222"/>
          <w:sz w:val="19"/>
          <w:szCs w:val="19"/>
        </w:rPr>
      </w:pPr>
      <w:r>
        <w:rPr>
          <w:rFonts w:ascii="Arial" w:hAnsi="Arial" w:cs="Arial"/>
          <w:color w:val="222222"/>
          <w:sz w:val="19"/>
          <w:szCs w:val="19"/>
        </w:rPr>
        <w:t>Published by Zed Books and now in its Fifth edition, the </w:t>
      </w:r>
      <w:r>
        <w:rPr>
          <w:rStyle w:val="il"/>
          <w:rFonts w:ascii="Arial" w:hAnsi="Arial" w:cs="Arial"/>
          <w:color w:val="222222"/>
          <w:sz w:val="19"/>
          <w:szCs w:val="19"/>
        </w:rPr>
        <w:t>GHW</w:t>
      </w:r>
      <w:r>
        <w:rPr>
          <w:rFonts w:ascii="Arial" w:hAnsi="Arial" w:cs="Arial"/>
          <w:color w:val="222222"/>
          <w:sz w:val="19"/>
          <w:szCs w:val="19"/>
        </w:rPr>
        <w:t> is widely perceived as the definitive voice for an alternative discourse on health. </w:t>
      </w:r>
      <w:r>
        <w:rPr>
          <w:rFonts w:ascii="Arial" w:hAnsi="Arial" w:cs="Arial"/>
          <w:color w:val="000000"/>
          <w:sz w:val="19"/>
          <w:szCs w:val="19"/>
          <w:shd w:val="clear" w:color="auto" w:fill="F5F2EF"/>
        </w:rPr>
        <w:t>This new edition addresses the key challenges facing governments and health practitioners today, within the context of rapid shifts in global governance mechanisms and the UN’s Sustainable Development Goals. Like its predecessors, it challenges conventional wisdom while pioneering innovative new approaches to the field.</w:t>
      </w:r>
    </w:p>
    <w:p w:rsidR="006E552F" w:rsidRDefault="006E552F" w:rsidP="006E552F">
      <w:pPr>
        <w:pStyle w:val="m728641700791804976gmail-m3004818792714494984gmail-msonormal"/>
        <w:shd w:val="clear" w:color="auto" w:fill="FFFFFF"/>
        <w:spacing w:after="120" w:afterAutospacing="0"/>
        <w:rPr>
          <w:rFonts w:ascii="Arial" w:hAnsi="Arial" w:cs="Arial"/>
          <w:color w:val="222222"/>
          <w:sz w:val="19"/>
          <w:szCs w:val="19"/>
        </w:rPr>
      </w:pPr>
      <w:r>
        <w:rPr>
          <w:rFonts w:ascii="Arial" w:hAnsi="Arial" w:cs="Arial"/>
          <w:color w:val="222222"/>
          <w:sz w:val="19"/>
          <w:szCs w:val="19"/>
          <w:lang w:val="en-GB"/>
        </w:rPr>
        <w:t>The Watch provides information and analysis embedded in a vision of the world and of human society that is more just, more equal and more humane. As in the case of the previous editions, the contents of Global Health Watch 5 are divided into five interlinked sections.</w:t>
      </w:r>
    </w:p>
    <w:p w:rsidR="006E552F" w:rsidRDefault="006E552F" w:rsidP="006E552F">
      <w:pPr>
        <w:pStyle w:val="NormalWeb"/>
        <w:shd w:val="clear" w:color="auto" w:fill="F5F2EF"/>
        <w:spacing w:before="0" w:beforeAutospacing="0" w:after="240" w:afterAutospacing="0"/>
        <w:rPr>
          <w:rFonts w:ascii="Arial" w:hAnsi="Arial" w:cs="Arial"/>
          <w:color w:val="222222"/>
          <w:sz w:val="19"/>
          <w:szCs w:val="19"/>
        </w:rPr>
      </w:pPr>
      <w:r>
        <w:rPr>
          <w:rFonts w:ascii="Calibri" w:hAnsi="Calibri" w:cs="Arial"/>
          <w:color w:val="222222"/>
          <w:sz w:val="22"/>
          <w:szCs w:val="22"/>
          <w:lang w:val="en-GB"/>
        </w:rPr>
        <w:t>The section on the ‘The Global political and economic architecture’ draws causal links between decisions and choices that impact on health and the current structure of global power relations and global governance. In his endorsement of the book, </w:t>
      </w:r>
      <w:r>
        <w:rPr>
          <w:rFonts w:ascii="Calibri" w:hAnsi="Calibri" w:cs="Arial"/>
          <w:color w:val="000000"/>
          <w:sz w:val="22"/>
          <w:szCs w:val="22"/>
        </w:rPr>
        <w:t>Michael Moore, President, World Federation of Public Health Associations, writes:</w:t>
      </w:r>
      <w:r>
        <w:rPr>
          <w:rFonts w:ascii="Calibri" w:hAnsi="Calibri" w:cs="Arial"/>
          <w:color w:val="222222"/>
          <w:sz w:val="22"/>
          <w:szCs w:val="22"/>
        </w:rPr>
        <w:t> </w:t>
      </w:r>
      <w:r>
        <w:rPr>
          <w:rFonts w:ascii="Calibri" w:hAnsi="Calibri" w:cs="Arial"/>
          <w:color w:val="000000"/>
          <w:sz w:val="22"/>
          <w:szCs w:val="22"/>
        </w:rPr>
        <w:t>“[</w:t>
      </w:r>
      <w:r>
        <w:rPr>
          <w:rStyle w:val="il"/>
          <w:rFonts w:ascii="Calibri" w:hAnsi="Calibri" w:cs="Arial"/>
          <w:i/>
          <w:iCs/>
          <w:color w:val="000000"/>
          <w:sz w:val="22"/>
          <w:szCs w:val="22"/>
        </w:rPr>
        <w:t>GHW</w:t>
      </w:r>
      <w:r>
        <w:rPr>
          <w:rFonts w:ascii="Calibri" w:hAnsi="Calibri" w:cs="Arial"/>
          <w:i/>
          <w:iCs/>
          <w:color w:val="000000"/>
          <w:sz w:val="22"/>
          <w:szCs w:val="22"/>
        </w:rPr>
        <w:t xml:space="preserve">] </w:t>
      </w:r>
      <w:proofErr w:type="gramStart"/>
      <w:r>
        <w:rPr>
          <w:rFonts w:ascii="Calibri" w:hAnsi="Calibri" w:cs="Arial"/>
          <w:i/>
          <w:iCs/>
          <w:color w:val="000000"/>
          <w:sz w:val="22"/>
          <w:szCs w:val="22"/>
        </w:rPr>
        <w:t>Offers</w:t>
      </w:r>
      <w:proofErr w:type="gramEnd"/>
      <w:r>
        <w:rPr>
          <w:rFonts w:ascii="Calibri" w:hAnsi="Calibri" w:cs="Arial"/>
          <w:i/>
          <w:iCs/>
          <w:color w:val="000000"/>
          <w:sz w:val="22"/>
          <w:szCs w:val="22"/>
        </w:rPr>
        <w:t xml:space="preserve"> a courageous and serious assessment, making it compulsory health policy reading</w:t>
      </w:r>
      <w:r>
        <w:rPr>
          <w:rFonts w:ascii="Calibri" w:hAnsi="Calibri" w:cs="Arial"/>
          <w:color w:val="000000"/>
          <w:sz w:val="22"/>
          <w:szCs w:val="22"/>
        </w:rPr>
        <w:t>.” </w:t>
      </w:r>
    </w:p>
    <w:p w:rsidR="006E552F" w:rsidRDefault="006E552F" w:rsidP="006E552F">
      <w:pPr>
        <w:pStyle w:val="NormalWeb"/>
        <w:shd w:val="clear" w:color="auto" w:fill="F5F2EF"/>
        <w:spacing w:before="0" w:beforeAutospacing="0" w:after="240" w:afterAutospacing="0"/>
        <w:rPr>
          <w:rFonts w:ascii="Arial" w:hAnsi="Arial" w:cs="Arial"/>
          <w:color w:val="222222"/>
          <w:sz w:val="19"/>
          <w:szCs w:val="19"/>
        </w:rPr>
      </w:pPr>
      <w:r>
        <w:rPr>
          <w:rFonts w:ascii="Calibri" w:hAnsi="Calibri" w:cs="Arial"/>
          <w:color w:val="222222"/>
          <w:sz w:val="22"/>
          <w:szCs w:val="22"/>
          <w:lang w:val="en-GB"/>
        </w:rPr>
        <w:t>The section ‘Health systems: current issues and debates’ looks at contemporary debates on health systems in different parts of the world, to draw appropriate lessons and propose concrete actions. </w:t>
      </w:r>
      <w:r>
        <w:rPr>
          <w:rFonts w:ascii="Calibri" w:hAnsi="Calibri" w:cs="Arial"/>
          <w:color w:val="000000"/>
          <w:sz w:val="22"/>
          <w:szCs w:val="22"/>
        </w:rPr>
        <w:t>“</w:t>
      </w:r>
      <w:r>
        <w:rPr>
          <w:rFonts w:ascii="Calibri" w:hAnsi="Calibri" w:cs="Arial"/>
          <w:i/>
          <w:iCs/>
          <w:color w:val="000000"/>
          <w:sz w:val="22"/>
          <w:szCs w:val="22"/>
        </w:rPr>
        <w:t>[</w:t>
      </w:r>
      <w:r>
        <w:rPr>
          <w:rStyle w:val="il"/>
          <w:rFonts w:ascii="Calibri" w:hAnsi="Calibri" w:cs="Arial"/>
          <w:i/>
          <w:iCs/>
          <w:color w:val="000000"/>
          <w:sz w:val="22"/>
          <w:szCs w:val="22"/>
        </w:rPr>
        <w:t>GHW</w:t>
      </w:r>
      <w:r>
        <w:rPr>
          <w:rFonts w:ascii="Calibri" w:hAnsi="Calibri" w:cs="Arial"/>
          <w:i/>
          <w:iCs/>
          <w:color w:val="000000"/>
          <w:sz w:val="22"/>
          <w:szCs w:val="22"/>
        </w:rPr>
        <w:t xml:space="preserve">] </w:t>
      </w:r>
      <w:proofErr w:type="gramStart"/>
      <w:r>
        <w:rPr>
          <w:rFonts w:ascii="Calibri" w:hAnsi="Calibri" w:cs="Arial"/>
          <w:i/>
          <w:iCs/>
          <w:color w:val="000000"/>
          <w:sz w:val="22"/>
          <w:szCs w:val="22"/>
        </w:rPr>
        <w:t>Addresses</w:t>
      </w:r>
      <w:proofErr w:type="gramEnd"/>
      <w:r>
        <w:rPr>
          <w:rFonts w:ascii="Calibri" w:hAnsi="Calibri" w:cs="Arial"/>
          <w:i/>
          <w:iCs/>
          <w:color w:val="000000"/>
          <w:sz w:val="22"/>
          <w:szCs w:val="22"/>
        </w:rPr>
        <w:t xml:space="preserve"> the increasingly complex problems affecting the health of populations. It draws attention to the destructive impact of corporate power and to the abuse of technological and scientific developments</w:t>
      </w:r>
      <w:r>
        <w:rPr>
          <w:rFonts w:ascii="Calibri" w:hAnsi="Calibri" w:cs="Arial"/>
          <w:color w:val="000000"/>
          <w:sz w:val="22"/>
          <w:szCs w:val="22"/>
        </w:rPr>
        <w:t xml:space="preserve">” says </w:t>
      </w:r>
      <w:proofErr w:type="spellStart"/>
      <w:r>
        <w:rPr>
          <w:rFonts w:ascii="Calibri" w:hAnsi="Calibri" w:cs="Arial"/>
          <w:color w:val="000000"/>
          <w:sz w:val="22"/>
          <w:szCs w:val="22"/>
        </w:rPr>
        <w:t>Nila</w:t>
      </w:r>
      <w:proofErr w:type="spellEnd"/>
      <w:r>
        <w:rPr>
          <w:rFonts w:ascii="Calibri" w:hAnsi="Calibri" w:cs="Arial"/>
          <w:color w:val="000000"/>
          <w:sz w:val="22"/>
          <w:szCs w:val="22"/>
        </w:rPr>
        <w:t xml:space="preserve"> Heredia Miranda, former Minister of Health for Bolivia, and Executive Director of the Andean Health </w:t>
      </w:r>
      <w:proofErr w:type="spellStart"/>
      <w:r>
        <w:rPr>
          <w:rFonts w:ascii="Calibri" w:hAnsi="Calibri" w:cs="Arial"/>
          <w:color w:val="000000"/>
          <w:sz w:val="22"/>
          <w:szCs w:val="22"/>
        </w:rPr>
        <w:t>Organisation</w:t>
      </w:r>
      <w:proofErr w:type="spellEnd"/>
      <w:r>
        <w:rPr>
          <w:rFonts w:ascii="Calibri" w:hAnsi="Calibri" w:cs="Arial"/>
          <w:color w:val="000000"/>
          <w:sz w:val="22"/>
          <w:szCs w:val="22"/>
        </w:rPr>
        <w:t>.</w:t>
      </w:r>
    </w:p>
    <w:p w:rsidR="006E552F" w:rsidRDefault="006E552F" w:rsidP="006E552F">
      <w:pPr>
        <w:pStyle w:val="NormalWeb"/>
        <w:shd w:val="clear" w:color="auto" w:fill="F5F2EF"/>
        <w:spacing w:before="0" w:beforeAutospacing="0" w:after="240" w:afterAutospacing="0"/>
        <w:rPr>
          <w:rFonts w:ascii="Arial" w:hAnsi="Arial" w:cs="Arial"/>
          <w:color w:val="222222"/>
          <w:sz w:val="19"/>
          <w:szCs w:val="19"/>
        </w:rPr>
      </w:pPr>
      <w:r>
        <w:rPr>
          <w:rFonts w:ascii="Calibri" w:hAnsi="Calibri" w:cs="Arial"/>
          <w:color w:val="222222"/>
          <w:sz w:val="22"/>
          <w:szCs w:val="22"/>
          <w:lang w:val="en-GB"/>
        </w:rPr>
        <w:t xml:space="preserve">The third section, ‘Beyond healthcare’, examines multiple social and structural determinants of health. </w:t>
      </w:r>
      <w:proofErr w:type="gramStart"/>
      <w:r>
        <w:rPr>
          <w:rFonts w:ascii="Calibri" w:hAnsi="Calibri" w:cs="Arial"/>
          <w:color w:val="222222"/>
          <w:sz w:val="22"/>
          <w:szCs w:val="22"/>
          <w:lang w:val="en-GB"/>
        </w:rPr>
        <w:t>Comments </w:t>
      </w:r>
      <w:r>
        <w:rPr>
          <w:rFonts w:ascii="Calibri" w:hAnsi="Calibri" w:cs="Arial"/>
          <w:color w:val="000000"/>
          <w:sz w:val="22"/>
          <w:szCs w:val="22"/>
        </w:rPr>
        <w:t>Nancy Krieger, Harvard T.H. Chan School of Public Health, </w:t>
      </w:r>
      <w:r>
        <w:rPr>
          <w:rFonts w:ascii="Calibri" w:hAnsi="Calibri" w:cs="Arial"/>
          <w:i/>
          <w:iCs/>
          <w:color w:val="000000"/>
          <w:sz w:val="22"/>
          <w:szCs w:val="22"/>
        </w:rPr>
        <w:t>“[</w:t>
      </w:r>
      <w:r>
        <w:rPr>
          <w:rStyle w:val="il"/>
          <w:rFonts w:ascii="Calibri" w:hAnsi="Calibri" w:cs="Arial"/>
          <w:i/>
          <w:iCs/>
          <w:color w:val="000000"/>
          <w:sz w:val="22"/>
          <w:szCs w:val="22"/>
        </w:rPr>
        <w:t>GHW</w:t>
      </w:r>
      <w:r>
        <w:rPr>
          <w:rFonts w:ascii="Calibri" w:hAnsi="Calibri" w:cs="Arial"/>
          <w:i/>
          <w:iCs/>
          <w:color w:val="000000"/>
          <w:sz w:val="22"/>
          <w:szCs w:val="22"/>
        </w:rPr>
        <w:t>] brings together vision, critique, solidarity, and the promise of a collective path towards health equity for the world’s peoples.</w:t>
      </w:r>
      <w:proofErr w:type="gramEnd"/>
      <w:r>
        <w:rPr>
          <w:rFonts w:ascii="Calibri" w:hAnsi="Calibri" w:cs="Arial"/>
          <w:i/>
          <w:iCs/>
          <w:color w:val="000000"/>
          <w:sz w:val="22"/>
          <w:szCs w:val="22"/>
        </w:rPr>
        <w:t> GHW5 makes vivid the connections between social justice and public health.”</w:t>
      </w:r>
    </w:p>
    <w:p w:rsidR="006E552F" w:rsidRDefault="006E552F" w:rsidP="006E552F">
      <w:pPr>
        <w:pStyle w:val="NormalWeb"/>
        <w:shd w:val="clear" w:color="auto" w:fill="F5F2EF"/>
        <w:spacing w:before="0" w:beforeAutospacing="0" w:after="240" w:afterAutospacing="0"/>
        <w:rPr>
          <w:rFonts w:ascii="Arial" w:hAnsi="Arial" w:cs="Arial"/>
          <w:color w:val="222222"/>
          <w:sz w:val="19"/>
          <w:szCs w:val="19"/>
        </w:rPr>
      </w:pPr>
      <w:r>
        <w:rPr>
          <w:rFonts w:ascii="Calibri" w:hAnsi="Calibri" w:cs="Arial"/>
          <w:color w:val="222222"/>
          <w:sz w:val="22"/>
          <w:szCs w:val="22"/>
          <w:lang w:val="en-GB"/>
        </w:rPr>
        <w:t>The section on ‘Watching’ critically analyses global processes and institutions which have a significant impact on global health. The final section foregrounds stories of action and resistance, from different regions of the world. </w:t>
      </w:r>
      <w:proofErr w:type="gramStart"/>
      <w:r>
        <w:rPr>
          <w:rFonts w:ascii="Calibri" w:hAnsi="Calibri" w:cs="Arial"/>
          <w:color w:val="000000"/>
          <w:sz w:val="22"/>
          <w:szCs w:val="22"/>
        </w:rPr>
        <w:t>Paulo Buss, Director, FIOCRUZ Center for Global Health endorses </w:t>
      </w:r>
      <w:proofErr w:type="spellStart"/>
      <w:r>
        <w:rPr>
          <w:rStyle w:val="il"/>
          <w:rFonts w:ascii="Calibri" w:hAnsi="Calibri" w:cs="Arial"/>
          <w:color w:val="000000"/>
          <w:sz w:val="22"/>
          <w:szCs w:val="22"/>
        </w:rPr>
        <w:t>GHW</w:t>
      </w:r>
      <w:r>
        <w:rPr>
          <w:rFonts w:ascii="Calibri" w:hAnsi="Calibri" w:cs="Arial"/>
          <w:color w:val="000000"/>
          <w:sz w:val="22"/>
          <w:szCs w:val="22"/>
        </w:rPr>
        <w:t>as</w:t>
      </w:r>
      <w:proofErr w:type="spellEnd"/>
      <w:r>
        <w:rPr>
          <w:rFonts w:ascii="Calibri" w:hAnsi="Calibri" w:cs="Arial"/>
          <w:i/>
          <w:iCs/>
          <w:color w:val="000000"/>
          <w:sz w:val="22"/>
          <w:szCs w:val="22"/>
        </w:rPr>
        <w:t>:  “A consistent source of critical information and analysis of health around the world.</w:t>
      </w:r>
      <w:proofErr w:type="gramEnd"/>
      <w:r>
        <w:rPr>
          <w:rFonts w:ascii="Calibri" w:hAnsi="Calibri" w:cs="Arial"/>
          <w:i/>
          <w:iCs/>
          <w:color w:val="000000"/>
          <w:sz w:val="22"/>
          <w:szCs w:val="22"/>
        </w:rPr>
        <w:t xml:space="preserve"> </w:t>
      </w:r>
      <w:proofErr w:type="gramStart"/>
      <w:r>
        <w:rPr>
          <w:rFonts w:ascii="Calibri" w:hAnsi="Calibri" w:cs="Arial"/>
          <w:i/>
          <w:iCs/>
          <w:color w:val="000000"/>
          <w:sz w:val="22"/>
          <w:szCs w:val="22"/>
        </w:rPr>
        <w:t>Terrific for researchers, teachers, students and health activists.</w:t>
      </w:r>
      <w:proofErr w:type="gramEnd"/>
      <w:r>
        <w:rPr>
          <w:rFonts w:ascii="Calibri" w:hAnsi="Calibri" w:cs="Arial"/>
          <w:i/>
          <w:iCs/>
          <w:color w:val="000000"/>
          <w:sz w:val="22"/>
          <w:szCs w:val="22"/>
        </w:rPr>
        <w:t xml:space="preserve"> The current edition will help the fight for better social, economic and environmental conditions.” </w:t>
      </w:r>
    </w:p>
    <w:p w:rsidR="006E552F" w:rsidRDefault="006E552F" w:rsidP="006E552F">
      <w:pPr>
        <w:pStyle w:val="NormalWeb"/>
        <w:shd w:val="clear" w:color="auto" w:fill="F5F2EF"/>
        <w:spacing w:before="0" w:beforeAutospacing="0" w:after="240" w:afterAutospacing="0"/>
        <w:rPr>
          <w:rFonts w:ascii="Arial" w:hAnsi="Arial" w:cs="Arial"/>
          <w:color w:val="222222"/>
          <w:sz w:val="19"/>
          <w:szCs w:val="19"/>
        </w:rPr>
      </w:pPr>
      <w:r>
        <w:rPr>
          <w:rFonts w:ascii="Calibri" w:hAnsi="Calibri" w:cs="Arial"/>
          <w:color w:val="222222"/>
          <w:sz w:val="22"/>
          <w:szCs w:val="22"/>
          <w:lang w:val="en-GB"/>
        </w:rPr>
        <w:t>While the book covers a very large canvas, this edition has a particular focus on two areas: the recently announced Sustainable Development Goals; and the rapid transition on global governance for health from a nation driven process to one that promotes the influence of private foundations, consultancy firms and corporations.</w:t>
      </w:r>
    </w:p>
    <w:p w:rsidR="006E552F" w:rsidRDefault="006E552F" w:rsidP="006E552F">
      <w:pPr>
        <w:pStyle w:val="m728641700791804976gmail-m3004818792714494984gmail-msonormal"/>
        <w:shd w:val="clear" w:color="auto" w:fill="FFFFFF"/>
        <w:spacing w:after="0" w:afterAutospacing="0"/>
        <w:rPr>
          <w:rFonts w:ascii="Arial" w:hAnsi="Arial" w:cs="Arial"/>
          <w:color w:val="222222"/>
          <w:sz w:val="19"/>
          <w:szCs w:val="19"/>
        </w:rPr>
      </w:pPr>
      <w:r>
        <w:rPr>
          <w:rFonts w:ascii="Arial" w:hAnsi="Arial" w:cs="Arial"/>
          <w:color w:val="222222"/>
          <w:sz w:val="19"/>
          <w:szCs w:val="19"/>
        </w:rPr>
        <w:t xml:space="preserve">GHW5 was coordinated by the People’s Health Movement (PHM), </w:t>
      </w:r>
      <w:proofErr w:type="spellStart"/>
      <w:r>
        <w:rPr>
          <w:rFonts w:ascii="Arial" w:hAnsi="Arial" w:cs="Arial"/>
          <w:color w:val="222222"/>
          <w:sz w:val="19"/>
          <w:szCs w:val="19"/>
        </w:rPr>
        <w:t>Asociacion</w:t>
      </w:r>
      <w:proofErr w:type="spellEnd"/>
      <w:r>
        <w:rPr>
          <w:rFonts w:ascii="Arial" w:hAnsi="Arial" w:cs="Arial"/>
          <w:color w:val="222222"/>
          <w:sz w:val="19"/>
          <w:szCs w:val="19"/>
        </w:rPr>
        <w:t xml:space="preserve"> Latino-</w:t>
      </w:r>
      <w:proofErr w:type="spellStart"/>
      <w:r>
        <w:rPr>
          <w:rFonts w:ascii="Arial" w:hAnsi="Arial" w:cs="Arial"/>
          <w:color w:val="222222"/>
          <w:sz w:val="19"/>
          <w:szCs w:val="19"/>
        </w:rPr>
        <w:t>americana</w:t>
      </w:r>
      <w:proofErr w:type="spellEnd"/>
      <w:r>
        <w:rPr>
          <w:rFonts w:ascii="Arial" w:hAnsi="Arial" w:cs="Arial"/>
          <w:color w:val="222222"/>
          <w:sz w:val="19"/>
          <w:szCs w:val="19"/>
        </w:rPr>
        <w:t xml:space="preserve"> de </w:t>
      </w:r>
      <w:proofErr w:type="spellStart"/>
      <w:r>
        <w:rPr>
          <w:rFonts w:ascii="Arial" w:hAnsi="Arial" w:cs="Arial"/>
          <w:color w:val="222222"/>
          <w:sz w:val="19"/>
          <w:szCs w:val="19"/>
        </w:rPr>
        <w:t>Medicina</w:t>
      </w:r>
      <w:proofErr w:type="spellEnd"/>
      <w:r>
        <w:rPr>
          <w:rFonts w:ascii="Arial" w:hAnsi="Arial" w:cs="Arial"/>
          <w:color w:val="222222"/>
          <w:sz w:val="19"/>
          <w:szCs w:val="19"/>
        </w:rPr>
        <w:t xml:space="preserve"> Social (ALAMES), Health Poverty Action, Medico International, Third World Network (TWN) and </w:t>
      </w:r>
      <w:proofErr w:type="spellStart"/>
      <w:r>
        <w:rPr>
          <w:rFonts w:ascii="Arial" w:hAnsi="Arial" w:cs="Arial"/>
          <w:color w:val="222222"/>
          <w:sz w:val="19"/>
          <w:szCs w:val="19"/>
        </w:rPr>
        <w:t>Medact</w:t>
      </w:r>
      <w:proofErr w:type="spellEnd"/>
      <w:r>
        <w:rPr>
          <w:rFonts w:ascii="Arial" w:hAnsi="Arial" w:cs="Arial"/>
          <w:color w:val="222222"/>
          <w:sz w:val="19"/>
          <w:szCs w:val="19"/>
        </w:rPr>
        <w:t>.</w:t>
      </w:r>
    </w:p>
    <w:p w:rsidR="006E552F" w:rsidRDefault="006E552F" w:rsidP="006E552F">
      <w:pPr>
        <w:pStyle w:val="m728641700791804976gmail-m3004818792714494984gmail-msonormal"/>
        <w:shd w:val="clear" w:color="auto" w:fill="FFFFFF"/>
        <w:spacing w:after="0" w:afterAutospacing="0"/>
        <w:rPr>
          <w:rFonts w:ascii="Arial" w:hAnsi="Arial" w:cs="Arial"/>
          <w:color w:val="222222"/>
          <w:sz w:val="19"/>
          <w:szCs w:val="19"/>
        </w:rPr>
      </w:pPr>
      <w:r>
        <w:rPr>
          <w:rFonts w:ascii="Arial" w:hAnsi="Arial" w:cs="Arial"/>
          <w:color w:val="222222"/>
          <w:sz w:val="19"/>
          <w:szCs w:val="19"/>
        </w:rPr>
        <w:lastRenderedPageBreak/>
        <w:t>To buy the book, visit: </w:t>
      </w:r>
      <w:hyperlink r:id="rId4" w:tgtFrame="_blank" w:history="1">
        <w:r>
          <w:rPr>
            <w:rStyle w:val="Hyperlink"/>
            <w:rFonts w:ascii="Arial" w:hAnsi="Arial" w:cs="Arial"/>
            <w:color w:val="1155CC"/>
            <w:sz w:val="19"/>
            <w:szCs w:val="19"/>
          </w:rPr>
          <w:t>https://www.zedbooks.net/shop/book/global-health-watch-5/</w:t>
        </w:r>
      </w:hyperlink>
      <w:r>
        <w:rPr>
          <w:rFonts w:ascii="Arial" w:hAnsi="Arial" w:cs="Arial"/>
          <w:color w:val="222222"/>
          <w:sz w:val="19"/>
          <w:szCs w:val="19"/>
        </w:rPr>
        <w:t> , Copies can also be purchased from </w:t>
      </w:r>
      <w:hyperlink r:id="rId5" w:tgtFrame="_blank" w:history="1">
        <w:r>
          <w:rPr>
            <w:rStyle w:val="Hyperlink"/>
            <w:rFonts w:ascii="Arial" w:hAnsi="Arial" w:cs="Arial"/>
            <w:color w:val="1155CC"/>
            <w:sz w:val="19"/>
            <w:szCs w:val="19"/>
          </w:rPr>
          <w:t>www.hesperian.org</w:t>
        </w:r>
      </w:hyperlink>
      <w:r>
        <w:rPr>
          <w:rFonts w:ascii="Arial" w:hAnsi="Arial" w:cs="Arial"/>
          <w:color w:val="222222"/>
          <w:sz w:val="19"/>
          <w:szCs w:val="19"/>
        </w:rPr>
        <w:t>.                                                                                                                               </w:t>
      </w:r>
    </w:p>
    <w:p w:rsidR="006E552F" w:rsidRDefault="006E552F" w:rsidP="006E552F">
      <w:pPr>
        <w:pStyle w:val="m728641700791804976gmail-m3004818792714494984gmail-msonormal"/>
        <w:shd w:val="clear" w:color="auto" w:fill="FFFFFF"/>
        <w:spacing w:after="0" w:afterAutospacing="0"/>
        <w:rPr>
          <w:rFonts w:ascii="Arial" w:hAnsi="Arial" w:cs="Arial"/>
          <w:color w:val="222222"/>
          <w:sz w:val="19"/>
          <w:szCs w:val="19"/>
        </w:rPr>
      </w:pPr>
      <w:r>
        <w:rPr>
          <w:rFonts w:ascii="Arial" w:hAnsi="Arial" w:cs="Arial"/>
          <w:color w:val="222222"/>
          <w:sz w:val="19"/>
          <w:szCs w:val="19"/>
        </w:rPr>
        <w:t>For more information visit &lt;</w:t>
      </w:r>
      <w:hyperlink r:id="rId6" w:tgtFrame="_blank" w:history="1">
        <w:r>
          <w:rPr>
            <w:rStyle w:val="Hyperlink"/>
            <w:rFonts w:ascii="Arial" w:hAnsi="Arial" w:cs="Arial"/>
            <w:color w:val="1155CC"/>
            <w:sz w:val="19"/>
            <w:szCs w:val="19"/>
          </w:rPr>
          <w:t>www.ghwatch.org/ghw4</w:t>
        </w:r>
      </w:hyperlink>
      <w:r>
        <w:rPr>
          <w:rFonts w:ascii="Arial" w:hAnsi="Arial" w:cs="Arial"/>
          <w:color w:val="222222"/>
          <w:sz w:val="19"/>
          <w:szCs w:val="19"/>
        </w:rPr>
        <w:t xml:space="preserve">&gt; or contact </w:t>
      </w:r>
      <w:proofErr w:type="spellStart"/>
      <w:r>
        <w:rPr>
          <w:rFonts w:ascii="Arial" w:hAnsi="Arial" w:cs="Arial"/>
          <w:color w:val="222222"/>
          <w:sz w:val="19"/>
          <w:szCs w:val="19"/>
        </w:rPr>
        <w:t>Gargeya.T</w:t>
      </w:r>
      <w:proofErr w:type="spellEnd"/>
      <w:r>
        <w:rPr>
          <w:rFonts w:ascii="Arial" w:hAnsi="Arial" w:cs="Arial"/>
          <w:color w:val="222222"/>
          <w:sz w:val="19"/>
          <w:szCs w:val="19"/>
        </w:rPr>
        <w:t xml:space="preserve"> &lt;</w:t>
      </w:r>
      <w:hyperlink r:id="rId7" w:tgtFrame="_blank" w:history="1">
        <w:r>
          <w:rPr>
            <w:rStyle w:val="Hyperlink"/>
            <w:rFonts w:ascii="Arial" w:hAnsi="Arial" w:cs="Arial"/>
            <w:color w:val="1155CC"/>
            <w:sz w:val="19"/>
            <w:szCs w:val="19"/>
          </w:rPr>
          <w:t>gargeya.t@phmovement.org</w:t>
        </w:r>
      </w:hyperlink>
      <w:r>
        <w:rPr>
          <w:rFonts w:ascii="Arial" w:hAnsi="Arial" w:cs="Arial"/>
          <w:color w:val="222222"/>
          <w:sz w:val="19"/>
          <w:szCs w:val="19"/>
        </w:rPr>
        <w:t>&gt; /</w:t>
      </w:r>
      <w:proofErr w:type="spellStart"/>
      <w:r>
        <w:rPr>
          <w:rFonts w:ascii="Arial" w:hAnsi="Arial" w:cs="Arial"/>
          <w:color w:val="222222"/>
          <w:sz w:val="19"/>
          <w:szCs w:val="19"/>
        </w:rPr>
        <w:t>Amit</w:t>
      </w:r>
      <w:proofErr w:type="spellEnd"/>
      <w:r>
        <w:rPr>
          <w:rFonts w:ascii="Arial" w:hAnsi="Arial" w:cs="Arial"/>
          <w:color w:val="222222"/>
          <w:sz w:val="19"/>
          <w:szCs w:val="19"/>
        </w:rPr>
        <w:t xml:space="preserve"> </w:t>
      </w:r>
      <w:proofErr w:type="spellStart"/>
      <w:r>
        <w:rPr>
          <w:rFonts w:ascii="Arial" w:hAnsi="Arial" w:cs="Arial"/>
          <w:color w:val="222222"/>
          <w:sz w:val="19"/>
          <w:szCs w:val="19"/>
        </w:rPr>
        <w:t>Sengupta</w:t>
      </w:r>
      <w:proofErr w:type="spellEnd"/>
      <w:r>
        <w:rPr>
          <w:rFonts w:ascii="Arial" w:hAnsi="Arial" w:cs="Arial"/>
          <w:color w:val="222222"/>
          <w:sz w:val="19"/>
          <w:szCs w:val="19"/>
        </w:rPr>
        <w:t xml:space="preserve"> &lt;</w:t>
      </w:r>
      <w:hyperlink r:id="rId8" w:tgtFrame="_blank" w:history="1">
        <w:r>
          <w:rPr>
            <w:rStyle w:val="Hyperlink"/>
            <w:rFonts w:ascii="Arial" w:hAnsi="Arial" w:cs="Arial"/>
            <w:color w:val="1155CC"/>
            <w:sz w:val="19"/>
            <w:szCs w:val="19"/>
          </w:rPr>
          <w:t>asengupta@phmovement.org</w:t>
        </w:r>
      </w:hyperlink>
      <w:r>
        <w:rPr>
          <w:rFonts w:ascii="Arial" w:hAnsi="Arial" w:cs="Arial"/>
          <w:color w:val="222222"/>
          <w:sz w:val="19"/>
          <w:szCs w:val="19"/>
        </w:rPr>
        <w:t>&gt;.</w:t>
      </w:r>
    </w:p>
    <w:p w:rsidR="00307494" w:rsidRDefault="00307494"/>
    <w:sectPr w:rsidR="00307494" w:rsidSect="003074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552F"/>
    <w:rsid w:val="00307494"/>
    <w:rsid w:val="006E55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4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28641700791804976gmail-m3004818792714494984gmail-msonormal">
    <w:name w:val="m_728641700791804976gmail-m_3004818792714494984gmail-msonormal"/>
    <w:basedOn w:val="Normal"/>
    <w:rsid w:val="006E55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6E552F"/>
  </w:style>
  <w:style w:type="paragraph" w:styleId="NormalWeb">
    <w:name w:val="Normal (Web)"/>
    <w:basedOn w:val="Normal"/>
    <w:uiPriority w:val="99"/>
    <w:semiHidden/>
    <w:unhideWhenUsed/>
    <w:rsid w:val="006E55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552F"/>
    <w:rPr>
      <w:color w:val="0000FF"/>
      <w:u w:val="single"/>
    </w:rPr>
  </w:style>
</w:styles>
</file>

<file path=word/webSettings.xml><?xml version="1.0" encoding="utf-8"?>
<w:webSettings xmlns:r="http://schemas.openxmlformats.org/officeDocument/2006/relationships" xmlns:w="http://schemas.openxmlformats.org/wordprocessingml/2006/main">
  <w:divs>
    <w:div w:id="890194984">
      <w:bodyDiv w:val="1"/>
      <w:marLeft w:val="0"/>
      <w:marRight w:val="0"/>
      <w:marTop w:val="0"/>
      <w:marBottom w:val="0"/>
      <w:divBdr>
        <w:top w:val="none" w:sz="0" w:space="0" w:color="auto"/>
        <w:left w:val="none" w:sz="0" w:space="0" w:color="auto"/>
        <w:bottom w:val="none" w:sz="0" w:space="0" w:color="auto"/>
        <w:right w:val="none" w:sz="0" w:space="0" w:color="auto"/>
      </w:divBdr>
      <w:divsChild>
        <w:div w:id="404107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83837">
              <w:marLeft w:val="0"/>
              <w:marRight w:val="0"/>
              <w:marTop w:val="0"/>
              <w:marBottom w:val="0"/>
              <w:divBdr>
                <w:top w:val="none" w:sz="0" w:space="0" w:color="auto"/>
                <w:left w:val="none" w:sz="0" w:space="0" w:color="auto"/>
                <w:bottom w:val="none" w:sz="0" w:space="0" w:color="auto"/>
                <w:right w:val="none" w:sz="0" w:space="0" w:color="auto"/>
              </w:divBdr>
              <w:divsChild>
                <w:div w:id="173346324">
                  <w:marLeft w:val="0"/>
                  <w:marRight w:val="0"/>
                  <w:marTop w:val="0"/>
                  <w:marBottom w:val="0"/>
                  <w:divBdr>
                    <w:top w:val="none" w:sz="0" w:space="0" w:color="auto"/>
                    <w:left w:val="none" w:sz="0" w:space="0" w:color="auto"/>
                    <w:bottom w:val="none" w:sz="0" w:space="0" w:color="auto"/>
                    <w:right w:val="none" w:sz="0" w:space="0" w:color="auto"/>
                  </w:divBdr>
                  <w:divsChild>
                    <w:div w:id="138692249">
                      <w:marLeft w:val="0"/>
                      <w:marRight w:val="0"/>
                      <w:marTop w:val="0"/>
                      <w:marBottom w:val="0"/>
                      <w:divBdr>
                        <w:top w:val="none" w:sz="0" w:space="0" w:color="auto"/>
                        <w:left w:val="none" w:sz="0" w:space="0" w:color="auto"/>
                        <w:bottom w:val="none" w:sz="0" w:space="0" w:color="auto"/>
                        <w:right w:val="none" w:sz="0" w:space="0" w:color="auto"/>
                      </w:divBdr>
                      <w:divsChild>
                        <w:div w:id="566191892">
                          <w:marLeft w:val="0"/>
                          <w:marRight w:val="0"/>
                          <w:marTop w:val="0"/>
                          <w:marBottom w:val="0"/>
                          <w:divBdr>
                            <w:top w:val="none" w:sz="0" w:space="0" w:color="auto"/>
                            <w:left w:val="none" w:sz="0" w:space="0" w:color="auto"/>
                            <w:bottom w:val="none" w:sz="0" w:space="0" w:color="auto"/>
                            <w:right w:val="none" w:sz="0" w:space="0" w:color="auto"/>
                          </w:divBdr>
                          <w:divsChild>
                            <w:div w:id="1706783780">
                              <w:marLeft w:val="0"/>
                              <w:marRight w:val="0"/>
                              <w:marTop w:val="0"/>
                              <w:marBottom w:val="0"/>
                              <w:divBdr>
                                <w:top w:val="none" w:sz="0" w:space="0" w:color="auto"/>
                                <w:left w:val="none" w:sz="0" w:space="0" w:color="auto"/>
                                <w:bottom w:val="none" w:sz="0" w:space="0" w:color="auto"/>
                                <w:right w:val="none" w:sz="0" w:space="0" w:color="auto"/>
                              </w:divBdr>
                              <w:divsChild>
                                <w:div w:id="18989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engupta@phmovement.org" TargetMode="External"/><Relationship Id="rId3" Type="http://schemas.openxmlformats.org/officeDocument/2006/relationships/webSettings" Target="webSettings.xml"/><Relationship Id="rId7" Type="http://schemas.openxmlformats.org/officeDocument/2006/relationships/hyperlink" Target="mailto:gargeya.t@phmovemen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hwatch.org/ghw4" TargetMode="External"/><Relationship Id="rId5" Type="http://schemas.openxmlformats.org/officeDocument/2006/relationships/hyperlink" Target="http://www.hesperian.org/" TargetMode="External"/><Relationship Id="rId10" Type="http://schemas.openxmlformats.org/officeDocument/2006/relationships/theme" Target="theme/theme1.xml"/><Relationship Id="rId4" Type="http://schemas.openxmlformats.org/officeDocument/2006/relationships/hyperlink" Target="https://www.zedbooks.net/shop/book/global-health-watch-5/"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3870</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 SEN GUPTA</dc:creator>
  <cp:lastModifiedBy>AMIT SEN GUPTA</cp:lastModifiedBy>
  <cp:revision>1</cp:revision>
  <dcterms:created xsi:type="dcterms:W3CDTF">2018-02-26T07:37:00Z</dcterms:created>
  <dcterms:modified xsi:type="dcterms:W3CDTF">2018-02-26T07:38:00Z</dcterms:modified>
</cp:coreProperties>
</file>