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5A1FC7" w14:textId="77777777" w:rsidR="002B41F3" w:rsidRDefault="002709C4">
      <w:pPr>
        <w:pStyle w:val="Normal1"/>
        <w:widowControl w:val="0"/>
        <w:spacing w:line="240" w:lineRule="auto"/>
        <w:jc w:val="right"/>
      </w:pPr>
      <w:r>
        <w:rPr>
          <w:noProof/>
          <w:lang w:val="en-AU" w:eastAsia="en-AU"/>
        </w:rPr>
        <w:drawing>
          <wp:inline distT="0" distB="0" distL="114300" distR="114300" wp14:anchorId="48A78079" wp14:editId="5CF877D3">
            <wp:extent cx="1603375" cy="95440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A86238" w14:textId="5C8EFC4D" w:rsidR="002B41F3" w:rsidRDefault="007F7918" w:rsidP="007F7918">
      <w:pPr>
        <w:pStyle w:val="Normal1"/>
        <w:jc w:val="right"/>
      </w:pPr>
      <w:r>
        <w:t>19 May 2015</w:t>
      </w:r>
    </w:p>
    <w:p w14:paraId="78CCB3C4" w14:textId="77777777" w:rsidR="002B41F3" w:rsidRDefault="002709C4" w:rsidP="007F7918">
      <w:pPr>
        <w:pStyle w:val="Normal1"/>
        <w:spacing w:before="1320" w:after="120"/>
      </w:pPr>
      <w:r>
        <w:rPr>
          <w:rFonts w:ascii="Times New Roman" w:eastAsia="Times New Roman" w:hAnsi="Times New Roman" w:cs="Times New Roman"/>
          <w:b/>
          <w:color w:val="1F497D"/>
        </w:rPr>
        <w:t>Statement to the 68</w:t>
      </w:r>
      <w:r>
        <w:rPr>
          <w:rFonts w:ascii="Times New Roman" w:eastAsia="Times New Roman" w:hAnsi="Times New Roman" w:cs="Times New Roman"/>
          <w:b/>
          <w:color w:val="1F497D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1F497D"/>
        </w:rPr>
        <w:t xml:space="preserve"> World Health Assembly </w:t>
      </w:r>
      <w:r>
        <w:rPr>
          <w:rFonts w:ascii="Times New Roman" w:eastAsia="Times New Roman" w:hAnsi="Times New Roman" w:cs="Times New Roman"/>
          <w:b/>
          <w:color w:val="1F497D"/>
        </w:rPr>
        <w:br/>
        <w:t>on agenda item 17.3 Substandard/spurious/falsely-labelled/falsified/counterfeit medical products.</w:t>
      </w:r>
    </w:p>
    <w:p w14:paraId="60195399" w14:textId="77777777" w:rsidR="002B41F3" w:rsidRDefault="002B41F3" w:rsidP="007F7918">
      <w:pPr>
        <w:pStyle w:val="Normal1"/>
        <w:spacing w:after="120"/>
      </w:pPr>
    </w:p>
    <w:p w14:paraId="46A8F5EA" w14:textId="3A51E479" w:rsidR="002B41F3" w:rsidRPr="00593D71" w:rsidRDefault="002709C4" w:rsidP="007F7918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r w:rsidRPr="00593D71">
        <w:rPr>
          <w:rFonts w:ascii="Times New Roman" w:eastAsia="Times New Roman" w:hAnsi="Times New Roman" w:cs="Times New Roman"/>
          <w:color w:val="1F497D"/>
          <w:sz w:val="24"/>
          <w:szCs w:val="24"/>
        </w:rPr>
        <w:t>Thank you, Chair, for this</w:t>
      </w:r>
      <w:r w:rsidRPr="00593D71">
        <w:rPr>
          <w:rFonts w:ascii="Times New Roman" w:eastAsia="Times New Roman" w:hAnsi="Times New Roman" w:cs="Times New Roman"/>
          <w:strike/>
          <w:color w:val="1F497D"/>
          <w:sz w:val="24"/>
          <w:szCs w:val="24"/>
        </w:rPr>
        <w:t xml:space="preserve"> </w:t>
      </w:r>
      <w:r w:rsidRPr="00593D71">
        <w:rPr>
          <w:rFonts w:ascii="Times New Roman" w:eastAsia="Times New Roman" w:hAnsi="Times New Roman" w:cs="Times New Roman"/>
          <w:color w:val="1F497D"/>
          <w:sz w:val="24"/>
          <w:szCs w:val="24"/>
        </w:rPr>
        <w:t>opportunity to address the distinguished members of the World Health Assembly</w:t>
      </w:r>
      <w:r w:rsidR="00593D71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 </w:t>
      </w:r>
      <w:r w:rsidRPr="00593D71">
        <w:rPr>
          <w:rFonts w:ascii="Times New Roman" w:eastAsia="Times New Roman" w:hAnsi="Times New Roman" w:cs="Times New Roman"/>
          <w:color w:val="1F497D"/>
          <w:sz w:val="24"/>
          <w:szCs w:val="24"/>
        </w:rPr>
        <w:t>o</w:t>
      </w:r>
      <w:r w:rsidR="007F7918" w:rsidRPr="00593D71">
        <w:rPr>
          <w:rFonts w:ascii="Times New Roman" w:eastAsia="Times New Roman" w:hAnsi="Times New Roman" w:cs="Times New Roman"/>
          <w:color w:val="1F497D"/>
          <w:sz w:val="24"/>
          <w:szCs w:val="24"/>
        </w:rPr>
        <w:t>n behalf of MMI, PHM and TWN</w:t>
      </w:r>
      <w:r w:rsidRPr="00593D71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. </w:t>
      </w:r>
    </w:p>
    <w:p w14:paraId="183221A3" w14:textId="72B6DA5C" w:rsidR="00086E52" w:rsidRPr="00593D71" w:rsidRDefault="00095D92" w:rsidP="007F7918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r w:rsidRPr="00593D71">
        <w:rPr>
          <w:rFonts w:ascii="Times New Roman" w:hAnsi="Times New Roman" w:cs="Times New Roman"/>
          <w:sz w:val="24"/>
          <w:szCs w:val="24"/>
        </w:rPr>
        <w:t>T</w:t>
      </w:r>
      <w:r w:rsidR="002709C4" w:rsidRPr="00593D71">
        <w:rPr>
          <w:rFonts w:ascii="Times New Roman" w:hAnsi="Times New Roman" w:cs="Times New Roman"/>
          <w:sz w:val="24"/>
          <w:szCs w:val="24"/>
        </w:rPr>
        <w:t>he term SSFFC MP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 </w:t>
      </w:r>
      <w:r w:rsidRPr="00593D71">
        <w:rPr>
          <w:rFonts w:ascii="Times New Roman" w:hAnsi="Times New Roman" w:cs="Times New Roman"/>
          <w:sz w:val="24"/>
          <w:szCs w:val="24"/>
        </w:rPr>
        <w:t xml:space="preserve">originally seen as 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an interim arrangement </w:t>
      </w:r>
      <w:r w:rsidRPr="00593D71">
        <w:rPr>
          <w:rFonts w:ascii="Times New Roman" w:hAnsi="Times New Roman" w:cs="Times New Roman"/>
          <w:sz w:val="24"/>
          <w:szCs w:val="24"/>
        </w:rPr>
        <w:t xml:space="preserve">has </w:t>
      </w:r>
      <w:r w:rsidR="00086E52" w:rsidRPr="00593D71">
        <w:rPr>
          <w:rFonts w:ascii="Times New Roman" w:hAnsi="Times New Roman" w:cs="Times New Roman"/>
          <w:sz w:val="24"/>
          <w:szCs w:val="24"/>
        </w:rPr>
        <w:t>continue</w:t>
      </w:r>
      <w:r w:rsidRPr="00593D71">
        <w:rPr>
          <w:rFonts w:ascii="Times New Roman" w:hAnsi="Times New Roman" w:cs="Times New Roman"/>
          <w:sz w:val="24"/>
          <w:szCs w:val="24"/>
        </w:rPr>
        <w:t>d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 in use for more than 5 years.  </w:t>
      </w:r>
      <w:r w:rsidR="002709C4" w:rsidRPr="00593D71">
        <w:rPr>
          <w:rFonts w:ascii="Times New Roman" w:hAnsi="Times New Roman" w:cs="Times New Roman"/>
          <w:sz w:val="24"/>
          <w:szCs w:val="24"/>
        </w:rPr>
        <w:t>The term “counterfeit”, which legally refers to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 specific </w:t>
      </w:r>
      <w:r w:rsidR="002709C4" w:rsidRPr="00593D71">
        <w:rPr>
          <w:rFonts w:ascii="Times New Roman" w:hAnsi="Times New Roman" w:cs="Times New Roman"/>
          <w:sz w:val="24"/>
          <w:szCs w:val="24"/>
        </w:rPr>
        <w:t>trademark violations</w:t>
      </w:r>
      <w:r w:rsidRPr="00593D71">
        <w:rPr>
          <w:rFonts w:ascii="Times New Roman" w:hAnsi="Times New Roman" w:cs="Times New Roman"/>
          <w:sz w:val="24"/>
          <w:szCs w:val="24"/>
        </w:rPr>
        <w:t xml:space="preserve"> conflates </w:t>
      </w:r>
      <w:r w:rsidR="002709C4" w:rsidRPr="00593D71">
        <w:rPr>
          <w:rFonts w:ascii="Times New Roman" w:hAnsi="Times New Roman" w:cs="Times New Roman"/>
          <w:sz w:val="24"/>
          <w:szCs w:val="24"/>
        </w:rPr>
        <w:t xml:space="preserve">issues of poor-quality medicines (a clear global public health problem), with 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IP enforcement issues. </w:t>
      </w:r>
      <w:r w:rsidRPr="00593D71">
        <w:rPr>
          <w:rFonts w:ascii="Times New Roman" w:hAnsi="Times New Roman" w:cs="Times New Roman"/>
          <w:sz w:val="24"/>
          <w:szCs w:val="24"/>
        </w:rPr>
        <w:t>We call</w:t>
      </w:r>
      <w:r w:rsidR="002709C4" w:rsidRPr="00593D71">
        <w:rPr>
          <w:rFonts w:ascii="Times New Roman" w:hAnsi="Times New Roman" w:cs="Times New Roman"/>
          <w:sz w:val="24"/>
          <w:szCs w:val="24"/>
        </w:rPr>
        <w:t xml:space="preserve"> upon the MS to shed the trade and IP enforcement considerations which consti</w:t>
      </w:r>
      <w:r w:rsidRPr="00593D71">
        <w:rPr>
          <w:rFonts w:ascii="Times New Roman" w:hAnsi="Times New Roman" w:cs="Times New Roman"/>
          <w:sz w:val="24"/>
          <w:szCs w:val="24"/>
        </w:rPr>
        <w:t>tute the core interests of the p</w:t>
      </w:r>
      <w:r w:rsidR="002709C4" w:rsidRPr="00593D71">
        <w:rPr>
          <w:rFonts w:ascii="Times New Roman" w:hAnsi="Times New Roman" w:cs="Times New Roman"/>
          <w:sz w:val="24"/>
          <w:szCs w:val="24"/>
        </w:rPr>
        <w:t>harmaceutical Industry, and work on the core public health issues which are the mechanisms and processes that guarantee access to affordable medicines with quality and safety.</w:t>
      </w:r>
      <w:r w:rsidR="00593D71">
        <w:rPr>
          <w:rFonts w:ascii="Times New Roman" w:hAnsi="Times New Roman" w:cs="Times New Roman"/>
          <w:sz w:val="24"/>
          <w:szCs w:val="24"/>
        </w:rPr>
        <w:t xml:space="preserve"> </w:t>
      </w:r>
      <w:r w:rsidRPr="00593D71">
        <w:rPr>
          <w:rFonts w:ascii="Times New Roman" w:hAnsi="Times New Roman" w:cs="Times New Roman"/>
          <w:sz w:val="24"/>
          <w:szCs w:val="24"/>
        </w:rPr>
        <w:t>T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he </w:t>
      </w:r>
      <w:r w:rsidRPr="00593D71">
        <w:rPr>
          <w:rFonts w:ascii="Times New Roman" w:hAnsi="Times New Roman" w:cs="Times New Roman"/>
          <w:sz w:val="24"/>
          <w:szCs w:val="24"/>
        </w:rPr>
        <w:t>ob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tuse usage of SSFFC </w:t>
      </w:r>
      <w:r w:rsidRPr="00593D71">
        <w:rPr>
          <w:rFonts w:ascii="Times New Roman" w:hAnsi="Times New Roman" w:cs="Times New Roman"/>
          <w:sz w:val="24"/>
          <w:szCs w:val="24"/>
        </w:rPr>
        <w:t xml:space="preserve">clouds discussions regarding 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medicines with compromised quality, safety and efficacy. We urge MS to undertake a work program with an objective to </w:t>
      </w:r>
      <w:proofErr w:type="spellStart"/>
      <w:r w:rsidR="00086E52" w:rsidRPr="00593D71">
        <w:rPr>
          <w:rFonts w:ascii="Times New Roman" w:hAnsi="Times New Roman" w:cs="Times New Roman"/>
          <w:sz w:val="24"/>
          <w:szCs w:val="24"/>
        </w:rPr>
        <w:t>finalise</w:t>
      </w:r>
      <w:proofErr w:type="spellEnd"/>
      <w:r w:rsidR="00086E52" w:rsidRPr="00593D71">
        <w:rPr>
          <w:rFonts w:ascii="Times New Roman" w:hAnsi="Times New Roman" w:cs="Times New Roman"/>
          <w:sz w:val="24"/>
          <w:szCs w:val="24"/>
        </w:rPr>
        <w:t xml:space="preserve"> </w:t>
      </w:r>
      <w:r w:rsidRPr="00593D71">
        <w:rPr>
          <w:rFonts w:ascii="Times New Roman" w:hAnsi="Times New Roman" w:cs="Times New Roman"/>
          <w:sz w:val="24"/>
          <w:szCs w:val="24"/>
        </w:rPr>
        <w:t>more useful terminology</w:t>
      </w:r>
      <w:r w:rsidR="00086E52" w:rsidRPr="00593D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BC126D" w14:textId="04091A6D" w:rsidR="002B41F3" w:rsidRPr="00593D71" w:rsidRDefault="002709C4" w:rsidP="007F7918">
      <w:pPr>
        <w:pStyle w:val="Normal1"/>
        <w:spacing w:after="120"/>
        <w:rPr>
          <w:rFonts w:ascii="Times New Roman" w:hAnsi="Times New Roman" w:cs="Times New Roman"/>
          <w:sz w:val="24"/>
          <w:szCs w:val="24"/>
        </w:rPr>
      </w:pPr>
      <w:r w:rsidRPr="00593D71">
        <w:rPr>
          <w:rFonts w:ascii="Times New Roman" w:hAnsi="Times New Roman" w:cs="Times New Roman"/>
          <w:sz w:val="24"/>
          <w:szCs w:val="24"/>
        </w:rPr>
        <w:t xml:space="preserve">While the traceability of medicines is </w:t>
      </w:r>
      <w:r w:rsidR="00095D92" w:rsidRPr="00593D71">
        <w:rPr>
          <w:rFonts w:ascii="Times New Roman" w:hAnsi="Times New Roman" w:cs="Times New Roman"/>
          <w:sz w:val="24"/>
          <w:szCs w:val="24"/>
        </w:rPr>
        <w:t xml:space="preserve">necessary for the </w:t>
      </w:r>
      <w:r w:rsidRPr="00593D71">
        <w:rPr>
          <w:rFonts w:ascii="Times New Roman" w:hAnsi="Times New Roman" w:cs="Times New Roman"/>
          <w:sz w:val="24"/>
          <w:szCs w:val="24"/>
        </w:rPr>
        <w:t xml:space="preserve">recall </w:t>
      </w:r>
      <w:r w:rsidR="00095D92" w:rsidRPr="00593D71">
        <w:rPr>
          <w:rFonts w:ascii="Times New Roman" w:hAnsi="Times New Roman" w:cs="Times New Roman"/>
          <w:sz w:val="24"/>
          <w:szCs w:val="24"/>
        </w:rPr>
        <w:t xml:space="preserve">of substandard </w:t>
      </w:r>
      <w:r w:rsidRPr="00593D71">
        <w:rPr>
          <w:rFonts w:ascii="Times New Roman" w:hAnsi="Times New Roman" w:cs="Times New Roman"/>
          <w:sz w:val="24"/>
          <w:szCs w:val="24"/>
        </w:rPr>
        <w:t>medicines, the current defense of in-transit seizures of generic medicines</w:t>
      </w:r>
      <w:r w:rsidR="00095D92" w:rsidRPr="00593D71">
        <w:rPr>
          <w:rFonts w:ascii="Times New Roman" w:hAnsi="Times New Roman" w:cs="Times New Roman"/>
          <w:sz w:val="24"/>
          <w:szCs w:val="24"/>
        </w:rPr>
        <w:t>,</w:t>
      </w:r>
      <w:r w:rsidRPr="00593D71">
        <w:rPr>
          <w:rFonts w:ascii="Times New Roman" w:hAnsi="Times New Roman" w:cs="Times New Roman"/>
          <w:sz w:val="24"/>
          <w:szCs w:val="24"/>
        </w:rPr>
        <w:t xml:space="preserve"> notwithstanding that they are “in compliance with the regulatory requirements of the country of export and the country of final destination” </w:t>
      </w:r>
      <w:r w:rsidR="00095D92" w:rsidRPr="00593D71">
        <w:rPr>
          <w:rFonts w:ascii="Times New Roman" w:hAnsi="Times New Roman" w:cs="Times New Roman"/>
          <w:sz w:val="24"/>
          <w:szCs w:val="24"/>
        </w:rPr>
        <w:t xml:space="preserve">is </w:t>
      </w:r>
      <w:r w:rsidRPr="00593D71">
        <w:rPr>
          <w:rFonts w:ascii="Times New Roman" w:hAnsi="Times New Roman" w:cs="Times New Roman"/>
          <w:sz w:val="24"/>
          <w:szCs w:val="24"/>
        </w:rPr>
        <w:t xml:space="preserve">an attack on access to legitimate generic medicines. The MSM should make it absolutely clear that in transit seizures of generic medicines clearly belongs on the list of actions, activities and </w:t>
      </w:r>
      <w:proofErr w:type="spellStart"/>
      <w:r w:rsidRPr="00593D71">
        <w:rPr>
          <w:rFonts w:ascii="Times New Roman" w:hAnsi="Times New Roman" w:cs="Times New Roman"/>
          <w:sz w:val="24"/>
          <w:szCs w:val="24"/>
        </w:rPr>
        <w:t>behaviours</w:t>
      </w:r>
      <w:proofErr w:type="spellEnd"/>
      <w:r w:rsidRPr="00593D71">
        <w:rPr>
          <w:rFonts w:ascii="Times New Roman" w:hAnsi="Times New Roman" w:cs="Times New Roman"/>
          <w:sz w:val="24"/>
          <w:szCs w:val="24"/>
        </w:rPr>
        <w:t xml:space="preserve"> which lie outside the mandate of the MSM, and has no justification in terms of defending standards of quality, safety and efficacy.</w:t>
      </w:r>
    </w:p>
    <w:p w14:paraId="02FFD8AD" w14:textId="1E4D3989" w:rsidR="00095D92" w:rsidRDefault="00095D92" w:rsidP="007F7918">
      <w:pPr>
        <w:pStyle w:val="Normal1"/>
        <w:spacing w:after="120"/>
      </w:pPr>
      <w:r w:rsidRPr="00593D71">
        <w:rPr>
          <w:rFonts w:ascii="Times New Roman" w:hAnsi="Times New Roman" w:cs="Times New Roman"/>
          <w:sz w:val="24"/>
          <w:szCs w:val="24"/>
        </w:rPr>
        <w:t xml:space="preserve">WHO’s budget crisis has impacted badly on the Organization’s support for development </w:t>
      </w:r>
      <w:r w:rsidR="00593D71">
        <w:rPr>
          <w:rFonts w:ascii="Times New Roman" w:hAnsi="Times New Roman" w:cs="Times New Roman"/>
          <w:sz w:val="24"/>
          <w:szCs w:val="24"/>
        </w:rPr>
        <w:t xml:space="preserve">and effective functioning </w:t>
      </w:r>
      <w:r w:rsidRPr="00593D71">
        <w:rPr>
          <w:rFonts w:ascii="Times New Roman" w:hAnsi="Times New Roman" w:cs="Times New Roman"/>
          <w:sz w:val="24"/>
          <w:szCs w:val="24"/>
        </w:rPr>
        <w:t xml:space="preserve">of national and regional drug regulatory </w:t>
      </w:r>
      <w:r w:rsidR="00593D71" w:rsidRPr="00593D71">
        <w:rPr>
          <w:rFonts w:ascii="Times New Roman" w:hAnsi="Times New Roman" w:cs="Times New Roman"/>
          <w:sz w:val="24"/>
          <w:szCs w:val="24"/>
        </w:rPr>
        <w:t>agencies. The freeze on assessed contributions must be lifted if WHO is to fulfill its mandate, including ensuring access to safe and effective medicines, appropriately used.</w:t>
      </w:r>
      <w:r w:rsidR="00593D71">
        <w:t xml:space="preserve"> </w:t>
      </w:r>
      <w:bookmarkStart w:id="0" w:name="_GoBack"/>
      <w:bookmarkEnd w:id="0"/>
    </w:p>
    <w:p w14:paraId="2C28134E" w14:textId="77777777" w:rsidR="00095D92" w:rsidRPr="007F7918" w:rsidRDefault="00095D92" w:rsidP="007F7918">
      <w:pPr>
        <w:pStyle w:val="Normal1"/>
        <w:spacing w:after="120"/>
      </w:pPr>
    </w:p>
    <w:p w14:paraId="581BBB62" w14:textId="4D52FCA9" w:rsidR="002B41F3" w:rsidRDefault="002709C4" w:rsidP="007F7918">
      <w:pPr>
        <w:pStyle w:val="Normal1"/>
        <w:spacing w:after="120"/>
      </w:pPr>
      <w:r>
        <w:rPr>
          <w:rFonts w:ascii="Times New Roman" w:eastAsia="Times New Roman" w:hAnsi="Times New Roman" w:cs="Times New Roman"/>
          <w:b/>
          <w:i/>
          <w:color w:val="1F497D"/>
        </w:rPr>
        <w:t>The statement will be delivered by:</w:t>
      </w:r>
      <w:r w:rsidR="00095D92">
        <w:rPr>
          <w:rFonts w:ascii="Times New Roman" w:eastAsia="Times New Roman" w:hAnsi="Times New Roman" w:cs="Times New Roman"/>
          <w:b/>
          <w:i/>
          <w:color w:val="1F497D"/>
        </w:rPr>
        <w:t xml:space="preserve"> Claire-Elise </w:t>
      </w:r>
      <w:proofErr w:type="spellStart"/>
      <w:r w:rsidR="00593D71">
        <w:rPr>
          <w:rFonts w:ascii="Times New Roman" w:eastAsia="Times New Roman" w:hAnsi="Times New Roman" w:cs="Times New Roman"/>
          <w:b/>
          <w:i/>
          <w:color w:val="1F497D"/>
        </w:rPr>
        <w:t>Burdet</w:t>
      </w:r>
      <w:proofErr w:type="spellEnd"/>
      <w:r>
        <w:rPr>
          <w:rFonts w:ascii="Times New Roman" w:eastAsia="Times New Roman" w:hAnsi="Times New Roman" w:cs="Times New Roman"/>
          <w:b/>
          <w:i/>
          <w:color w:val="1F497D"/>
        </w:rPr>
        <w:br/>
        <w:t>Contact for enquiries:</w:t>
      </w:r>
    </w:p>
    <w:p w14:paraId="3AF08BFF" w14:textId="77777777" w:rsidR="002B41F3" w:rsidRDefault="002B41F3" w:rsidP="007F7918">
      <w:pPr>
        <w:pStyle w:val="Normal1"/>
        <w:spacing w:after="120"/>
      </w:pPr>
    </w:p>
    <w:sectPr w:rsidR="002B41F3">
      <w:footerReference w:type="default" r:id="rId9"/>
      <w:pgSz w:w="12240" w:h="15840"/>
      <w:pgMar w:top="851" w:right="1325" w:bottom="1276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2DBCA" w14:textId="77777777" w:rsidR="00C141D9" w:rsidRDefault="00C141D9">
      <w:pPr>
        <w:spacing w:line="240" w:lineRule="auto"/>
      </w:pPr>
      <w:r>
        <w:separator/>
      </w:r>
    </w:p>
  </w:endnote>
  <w:endnote w:type="continuationSeparator" w:id="0">
    <w:p w14:paraId="38BAF7F1" w14:textId="77777777" w:rsidR="00C141D9" w:rsidRDefault="00C14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9217" w14:textId="77777777" w:rsidR="002709C4" w:rsidRDefault="002709C4">
    <w:pPr>
      <w:pStyle w:val="Normal1"/>
      <w:tabs>
        <w:tab w:val="center" w:pos="4536"/>
        <w:tab w:val="right" w:pos="9072"/>
      </w:tabs>
      <w:spacing w:after="133"/>
    </w:pPr>
    <w:proofErr w:type="spellStart"/>
    <w:r>
      <w:rPr>
        <w:rFonts w:ascii="Calibri" w:eastAsia="Calibri" w:hAnsi="Calibri" w:cs="Calibri"/>
        <w:sz w:val="18"/>
      </w:rPr>
      <w:t>Medicus</w:t>
    </w:r>
    <w:proofErr w:type="spellEnd"/>
    <w:r>
      <w:rPr>
        <w:rFonts w:ascii="Calibri" w:eastAsia="Calibri" w:hAnsi="Calibri" w:cs="Calibri"/>
        <w:sz w:val="18"/>
      </w:rPr>
      <w:t xml:space="preserve"> Mundi International, </w:t>
    </w:r>
    <w:proofErr w:type="spellStart"/>
    <w:r>
      <w:rPr>
        <w:rFonts w:ascii="Calibri" w:eastAsia="Calibri" w:hAnsi="Calibri" w:cs="Calibri"/>
        <w:sz w:val="18"/>
      </w:rPr>
      <w:t>Murbacherstrasse</w:t>
    </w:r>
    <w:proofErr w:type="spellEnd"/>
    <w:r>
      <w:rPr>
        <w:rFonts w:ascii="Calibri" w:eastAsia="Calibri" w:hAnsi="Calibri" w:cs="Calibri"/>
        <w:sz w:val="18"/>
      </w:rPr>
      <w:t xml:space="preserve"> 34, 4013 Basel, Switzerland</w:t>
    </w:r>
    <w:r>
      <w:rPr>
        <w:rFonts w:ascii="Calibri" w:eastAsia="Calibri" w:hAnsi="Calibri" w:cs="Calibri"/>
        <w:sz w:val="18"/>
      </w:rPr>
      <w:br/>
      <w:t>NGO in official relations with WHO - Sharing know-how and joining forces towards Health for All</w:t>
    </w:r>
    <w:r>
      <w:rPr>
        <w:rFonts w:ascii="Calibri" w:eastAsia="Calibri" w:hAnsi="Calibri" w:cs="Calibri"/>
        <w:sz w:val="18"/>
      </w:rPr>
      <w:br/>
      <w:t>Phone +41 61 383 18 11 - office@medicusmundi.org - www.medicusmundi.org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88592" w14:textId="77777777" w:rsidR="00C141D9" w:rsidRDefault="00C141D9">
      <w:pPr>
        <w:spacing w:line="240" w:lineRule="auto"/>
      </w:pPr>
      <w:r>
        <w:separator/>
      </w:r>
    </w:p>
  </w:footnote>
  <w:footnote w:type="continuationSeparator" w:id="0">
    <w:p w14:paraId="75BAF765" w14:textId="77777777" w:rsidR="00C141D9" w:rsidRDefault="00C141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90D2E"/>
    <w:multiLevelType w:val="multilevel"/>
    <w:tmpl w:val="BF6E7A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oNotDisplayPageBoundaries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41F3"/>
    <w:rsid w:val="00086E52"/>
    <w:rsid w:val="00095D92"/>
    <w:rsid w:val="002709C4"/>
    <w:rsid w:val="002B41F3"/>
    <w:rsid w:val="00593D71"/>
    <w:rsid w:val="007F7918"/>
    <w:rsid w:val="00C1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C86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C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C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C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1813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Legge</dc:creator>
  <cp:lastModifiedBy>David Legge</cp:lastModifiedBy>
  <cp:revision>3</cp:revision>
  <dcterms:created xsi:type="dcterms:W3CDTF">2015-05-19T03:28:00Z</dcterms:created>
  <dcterms:modified xsi:type="dcterms:W3CDTF">2015-05-19T03:44:00Z</dcterms:modified>
</cp:coreProperties>
</file>