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AE" w:rsidRDefault="004A0148">
      <w:r>
        <w:rPr>
          <w:noProof/>
          <w:lang w:eastAsia="zh-TW"/>
        </w:rPr>
        <w:pict>
          <v:shapetype id="_x0000_t202" coordsize="21600,21600" o:spt="202" path="m,l,21600r21600,l21600,xe">
            <v:stroke joinstyle="miter"/>
            <v:path gradientshapeok="t" o:connecttype="rect"/>
          </v:shapetype>
          <v:shape id="_x0000_s1033" type="#_x0000_t202" style="position:absolute;margin-left:156.75pt;margin-top:74.75pt;width:198.2pt;height:619.75pt;z-index:251668480;mso-width-relative:margin;mso-height-relative:margin" stroked="f">
            <v:textbox>
              <w:txbxContent>
                <w:p w:rsidR="000143F8" w:rsidRPr="001C09B5" w:rsidRDefault="00725600" w:rsidP="000143F8">
                  <w:pPr>
                    <w:autoSpaceDE w:val="0"/>
                    <w:autoSpaceDN w:val="0"/>
                    <w:adjustRightInd w:val="0"/>
                    <w:spacing w:after="0" w:line="240" w:lineRule="auto"/>
                    <w:rPr>
                      <w:rFonts w:ascii="Verdana" w:hAnsi="Verdana" w:cs="CircularPro-Bold"/>
                      <w:bCs/>
                      <w:sz w:val="24"/>
                      <w:szCs w:val="18"/>
                    </w:rPr>
                  </w:pPr>
                  <w:r>
                    <w:rPr>
                      <w:rFonts w:ascii="Verdana" w:hAnsi="Verdana" w:cs="CircularPro-Bold"/>
                      <w:bCs/>
                      <w:sz w:val="24"/>
                      <w:szCs w:val="18"/>
                    </w:rPr>
                    <w:t>GHW5 is t</w:t>
                  </w:r>
                  <w:r w:rsidR="000143F8" w:rsidRPr="001C09B5">
                    <w:rPr>
                      <w:rFonts w:ascii="Verdana" w:hAnsi="Verdana" w:cs="CircularPro-Bold"/>
                      <w:bCs/>
                      <w:sz w:val="24"/>
                      <w:szCs w:val="18"/>
                    </w:rPr>
                    <w:t>he latest edition of what remains the leading source for radical analysis in global and development healthcare.</w:t>
                  </w:r>
                </w:p>
                <w:p w:rsidR="000143F8" w:rsidRPr="001C09B5" w:rsidRDefault="000143F8" w:rsidP="000143F8">
                  <w:pPr>
                    <w:autoSpaceDE w:val="0"/>
                    <w:autoSpaceDN w:val="0"/>
                    <w:adjustRightInd w:val="0"/>
                    <w:spacing w:after="0" w:line="240" w:lineRule="auto"/>
                    <w:rPr>
                      <w:rFonts w:ascii="Verdana" w:hAnsi="Verdana" w:cs="CircularPro-Book"/>
                      <w:sz w:val="24"/>
                      <w:szCs w:val="18"/>
                    </w:rPr>
                  </w:pPr>
                </w:p>
                <w:p w:rsidR="000143F8" w:rsidRPr="001C09B5" w:rsidRDefault="000143F8" w:rsidP="000143F8">
                  <w:pPr>
                    <w:autoSpaceDE w:val="0"/>
                    <w:autoSpaceDN w:val="0"/>
                    <w:adjustRightInd w:val="0"/>
                    <w:spacing w:after="0" w:line="240" w:lineRule="auto"/>
                    <w:rPr>
                      <w:rFonts w:ascii="Verdana" w:hAnsi="Verdana" w:cs="CircularPro-Book"/>
                      <w:sz w:val="24"/>
                      <w:szCs w:val="18"/>
                    </w:rPr>
                  </w:pPr>
                  <w:r w:rsidRPr="001C09B5">
                    <w:rPr>
                      <w:rFonts w:ascii="Verdana" w:hAnsi="Verdana" w:cs="CircularPro-Book"/>
                      <w:sz w:val="24"/>
                      <w:szCs w:val="18"/>
                    </w:rPr>
                    <w:t>For over a decade, Global Health Watch has been the definitive source for alternative analysis on health and healthcare, challenging conventional wisdom and pioneering innovative new approaches to the field. This new edition addresses the key challenges facing governments and health practitioners today, within the context of the UN’s Sustainable Development Goals.</w:t>
                  </w:r>
                </w:p>
                <w:p w:rsidR="000143F8" w:rsidRPr="001C09B5" w:rsidRDefault="000143F8" w:rsidP="000143F8">
                  <w:pPr>
                    <w:autoSpaceDE w:val="0"/>
                    <w:autoSpaceDN w:val="0"/>
                    <w:adjustRightInd w:val="0"/>
                    <w:spacing w:after="0" w:line="240" w:lineRule="auto"/>
                    <w:rPr>
                      <w:rFonts w:ascii="Verdana" w:hAnsi="Verdana" w:cs="CircularPro-Book"/>
                      <w:sz w:val="24"/>
                      <w:szCs w:val="18"/>
                    </w:rPr>
                  </w:pPr>
                </w:p>
                <w:p w:rsidR="000143F8" w:rsidRPr="001C09B5" w:rsidRDefault="000143F8" w:rsidP="000143F8">
                  <w:pPr>
                    <w:autoSpaceDE w:val="0"/>
                    <w:autoSpaceDN w:val="0"/>
                    <w:adjustRightInd w:val="0"/>
                    <w:spacing w:after="0" w:line="240" w:lineRule="auto"/>
                    <w:rPr>
                      <w:rFonts w:ascii="Verdana" w:hAnsi="Verdana" w:cs="CircularPro-Book"/>
                      <w:sz w:val="24"/>
                      <w:szCs w:val="18"/>
                    </w:rPr>
                  </w:pPr>
                  <w:r w:rsidRPr="001C09B5">
                    <w:rPr>
                      <w:rFonts w:ascii="Verdana" w:hAnsi="Verdana" w:cs="CircularPro-Book"/>
                      <w:sz w:val="24"/>
                      <w:szCs w:val="18"/>
                    </w:rPr>
                    <w:t>Collaboratively written by academics and activists drawn from a variety of movements, research institutions, and civil society groups, its case studies cover some of the most pressing issues in world health, from the resurgence of epidemic diseases such as Ebola to antimicrobial resistance, climate change, and the ‘war on drugs’. Combining</w:t>
                  </w:r>
                </w:p>
                <w:p w:rsidR="000143F8" w:rsidRPr="001C09B5" w:rsidRDefault="000143F8" w:rsidP="000143F8">
                  <w:pPr>
                    <w:autoSpaceDE w:val="0"/>
                    <w:autoSpaceDN w:val="0"/>
                    <w:adjustRightInd w:val="0"/>
                    <w:spacing w:after="0" w:line="240" w:lineRule="auto"/>
                    <w:rPr>
                      <w:rFonts w:ascii="Verdana" w:hAnsi="Verdana"/>
                      <w:sz w:val="32"/>
                    </w:rPr>
                  </w:pPr>
                  <w:proofErr w:type="gramStart"/>
                  <w:r w:rsidRPr="001C09B5">
                    <w:rPr>
                      <w:rFonts w:ascii="Verdana" w:hAnsi="Verdana" w:cs="CircularPro-Book"/>
                      <w:sz w:val="24"/>
                      <w:szCs w:val="18"/>
                    </w:rPr>
                    <w:t>rigorous</w:t>
                  </w:r>
                  <w:proofErr w:type="gramEnd"/>
                  <w:r w:rsidRPr="001C09B5">
                    <w:rPr>
                      <w:rFonts w:ascii="Verdana" w:hAnsi="Verdana" w:cs="CircularPro-Book"/>
                      <w:sz w:val="24"/>
                      <w:szCs w:val="18"/>
                    </w:rPr>
                    <w:t xml:space="preserve"> analysis with practical policy suggestions, Global Health Watch 5 offers an accessible and compelling case for a radical new approach to healthcare across the world.</w:t>
                  </w:r>
                </w:p>
              </w:txbxContent>
            </v:textbox>
          </v:shape>
        </w:pict>
      </w:r>
      <w:r w:rsidR="002D2426">
        <w:rPr>
          <w:noProof/>
        </w:rPr>
        <w:drawing>
          <wp:anchor distT="0" distB="0" distL="114300" distR="114300" simplePos="0" relativeHeight="251666432" behindDoc="1" locked="0" layoutInCell="1" allowOverlap="1">
            <wp:simplePos x="0" y="0"/>
            <wp:positionH relativeFrom="column">
              <wp:posOffset>-390525</wp:posOffset>
            </wp:positionH>
            <wp:positionV relativeFrom="paragraph">
              <wp:posOffset>2800350</wp:posOffset>
            </wp:positionV>
            <wp:extent cx="2133600" cy="542925"/>
            <wp:effectExtent l="19050" t="0" r="0" b="0"/>
            <wp:wrapNone/>
            <wp:docPr id="11" name="Picture 5"/>
            <wp:cNvGraphicFramePr/>
            <a:graphic xmlns:a="http://schemas.openxmlformats.org/drawingml/2006/main">
              <a:graphicData uri="http://schemas.openxmlformats.org/drawingml/2006/picture">
                <pic:pic xmlns:pic="http://schemas.openxmlformats.org/drawingml/2006/picture">
                  <pic:nvPicPr>
                    <pic:cNvPr id="10246" name="Picture 6"/>
                    <pic:cNvPicPr>
                      <a:picLocks noChangeAspect="1" noChangeArrowheads="1"/>
                    </pic:cNvPicPr>
                  </pic:nvPicPr>
                  <pic:blipFill>
                    <a:blip r:embed="rId4"/>
                    <a:srcRect/>
                    <a:stretch>
                      <a:fillRect/>
                    </a:stretch>
                  </pic:blipFill>
                  <pic:spPr bwMode="auto">
                    <a:xfrm>
                      <a:off x="0" y="0"/>
                      <a:ext cx="2133600" cy="542925"/>
                    </a:xfrm>
                    <a:prstGeom prst="rect">
                      <a:avLst/>
                    </a:prstGeom>
                    <a:noFill/>
                    <a:ln w="9525">
                      <a:noFill/>
                      <a:miter lim="800000"/>
                      <a:headEnd/>
                      <a:tailEnd/>
                    </a:ln>
                  </pic:spPr>
                </pic:pic>
              </a:graphicData>
            </a:graphic>
          </wp:anchor>
        </w:drawing>
      </w:r>
      <w:r w:rsidR="00725600">
        <w:rPr>
          <w:noProof/>
          <w:lang w:eastAsia="zh-TW"/>
        </w:rPr>
        <w:pict>
          <v:shape id="_x0000_s1036" type="#_x0000_t202" style="position:absolute;margin-left:369.3pt;margin-top:74.75pt;width:173.2pt;height:708.25pt;z-index:251673600;mso-position-horizontal-relative:text;mso-position-vertical-relative:text;mso-width-relative:margin;mso-height-relative:margin" fillcolor="#d6e3bc [1302]">
            <v:textbox>
              <w:txbxContent>
                <w:p w:rsidR="00725600" w:rsidRPr="00D669B0" w:rsidRDefault="00725600" w:rsidP="00725600">
                  <w:pPr>
                    <w:spacing w:after="0" w:line="240" w:lineRule="auto"/>
                    <w:rPr>
                      <w:b/>
                      <w:color w:val="FF0000"/>
                      <w:szCs w:val="18"/>
                    </w:rPr>
                  </w:pPr>
                  <w:r w:rsidRPr="00D669B0">
                    <w:rPr>
                      <w:b/>
                      <w:color w:val="FF0000"/>
                      <w:szCs w:val="18"/>
                    </w:rPr>
                    <w:t>CONTENTS</w:t>
                  </w:r>
                </w:p>
                <w:p w:rsidR="00725600" w:rsidRPr="00725600" w:rsidRDefault="00725600" w:rsidP="00725600">
                  <w:pPr>
                    <w:spacing w:after="0" w:line="240" w:lineRule="auto"/>
                    <w:rPr>
                      <w:b/>
                      <w:sz w:val="18"/>
                      <w:szCs w:val="18"/>
                    </w:rPr>
                  </w:pPr>
                </w:p>
                <w:p w:rsidR="00725600" w:rsidRPr="00D669B0" w:rsidRDefault="00725600" w:rsidP="00725600">
                  <w:pPr>
                    <w:spacing w:after="0" w:line="240" w:lineRule="auto"/>
                    <w:rPr>
                      <w:b/>
                      <w:color w:val="FF0000"/>
                      <w:sz w:val="18"/>
                      <w:szCs w:val="18"/>
                    </w:rPr>
                  </w:pPr>
                  <w:r w:rsidRPr="00D669B0">
                    <w:rPr>
                      <w:b/>
                      <w:color w:val="FF0000"/>
                      <w:sz w:val="18"/>
                      <w:szCs w:val="18"/>
                    </w:rPr>
                    <w:t>Section A: The global political and economic architecture</w:t>
                  </w:r>
                </w:p>
                <w:p w:rsidR="00725600" w:rsidRPr="00725600" w:rsidRDefault="00725600" w:rsidP="00725600">
                  <w:pPr>
                    <w:spacing w:after="0" w:line="240" w:lineRule="auto"/>
                    <w:rPr>
                      <w:sz w:val="18"/>
                      <w:szCs w:val="18"/>
                    </w:rPr>
                  </w:pPr>
                  <w:r w:rsidRPr="00725600">
                    <w:rPr>
                      <w:sz w:val="18"/>
                      <w:szCs w:val="18"/>
                    </w:rPr>
                    <w:t xml:space="preserve">A1: </w:t>
                  </w:r>
                  <w:r>
                    <w:rPr>
                      <w:sz w:val="18"/>
                      <w:szCs w:val="18"/>
                    </w:rPr>
                    <w:t>SDGs</w:t>
                  </w:r>
                  <w:r w:rsidRPr="00725600">
                    <w:rPr>
                      <w:sz w:val="18"/>
                      <w:szCs w:val="18"/>
                    </w:rPr>
                    <w:t xml:space="preserve"> in the age of </w:t>
                  </w:r>
                  <w:proofErr w:type="spellStart"/>
                  <w:r w:rsidRPr="00725600">
                    <w:rPr>
                      <w:sz w:val="18"/>
                      <w:szCs w:val="18"/>
                    </w:rPr>
                    <w:t>Neoliberalism</w:t>
                  </w:r>
                  <w:proofErr w:type="spellEnd"/>
                  <w:r w:rsidRPr="00725600">
                    <w:rPr>
                      <w:sz w:val="18"/>
                      <w:szCs w:val="18"/>
                    </w:rPr>
                    <w:tab/>
                  </w:r>
                </w:p>
                <w:p w:rsidR="00725600" w:rsidRPr="00725600" w:rsidRDefault="00725600" w:rsidP="00725600">
                  <w:pPr>
                    <w:spacing w:after="0" w:line="240" w:lineRule="auto"/>
                    <w:rPr>
                      <w:sz w:val="18"/>
                      <w:szCs w:val="18"/>
                    </w:rPr>
                  </w:pPr>
                  <w:r w:rsidRPr="00725600">
                    <w:rPr>
                      <w:sz w:val="18"/>
                      <w:szCs w:val="18"/>
                    </w:rPr>
                    <w:t>A2: ‘Leave No One Behind’ -- are SDGs the way forward?</w:t>
                  </w:r>
                </w:p>
                <w:p w:rsidR="00725600" w:rsidRPr="00725600" w:rsidRDefault="00725600" w:rsidP="00725600">
                  <w:pPr>
                    <w:spacing w:after="0" w:line="240" w:lineRule="auto"/>
                    <w:rPr>
                      <w:sz w:val="18"/>
                      <w:szCs w:val="18"/>
                    </w:rPr>
                  </w:pPr>
                  <w:r w:rsidRPr="00725600">
                    <w:rPr>
                      <w:sz w:val="18"/>
                      <w:szCs w:val="18"/>
                    </w:rPr>
                    <w:t>A3: Advances and Setbacks in Latin America</w:t>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A4: Structural roots of Migration</w:t>
                  </w:r>
                  <w:r w:rsidRPr="00725600">
                    <w:rPr>
                      <w:sz w:val="18"/>
                      <w:szCs w:val="18"/>
                    </w:rPr>
                    <w:tab/>
                  </w:r>
                </w:p>
                <w:p w:rsidR="00725600" w:rsidRPr="00725600" w:rsidRDefault="00725600" w:rsidP="00725600">
                  <w:pPr>
                    <w:spacing w:after="0" w:line="240" w:lineRule="auto"/>
                    <w:rPr>
                      <w:sz w:val="18"/>
                      <w:szCs w:val="18"/>
                    </w:rPr>
                  </w:pPr>
                </w:p>
                <w:p w:rsidR="00725600" w:rsidRPr="00D669B0" w:rsidRDefault="00725600" w:rsidP="00725600">
                  <w:pPr>
                    <w:spacing w:after="0" w:line="240" w:lineRule="auto"/>
                    <w:rPr>
                      <w:b/>
                      <w:color w:val="FF0000"/>
                      <w:sz w:val="18"/>
                      <w:szCs w:val="18"/>
                    </w:rPr>
                  </w:pPr>
                  <w:r w:rsidRPr="00D669B0">
                    <w:rPr>
                      <w:b/>
                      <w:color w:val="FF0000"/>
                      <w:sz w:val="18"/>
                      <w:szCs w:val="18"/>
                    </w:rPr>
                    <w:t>Section B: Health Systems: Current issues and debates</w:t>
                  </w:r>
                </w:p>
                <w:p w:rsidR="00725600" w:rsidRPr="00725600" w:rsidRDefault="00725600" w:rsidP="00725600">
                  <w:pPr>
                    <w:spacing w:after="0" w:line="240" w:lineRule="auto"/>
                    <w:rPr>
                      <w:sz w:val="18"/>
                      <w:szCs w:val="18"/>
                    </w:rPr>
                  </w:pPr>
                  <w:r w:rsidRPr="00725600">
                    <w:rPr>
                      <w:sz w:val="18"/>
                      <w:szCs w:val="18"/>
                    </w:rPr>
                    <w:t xml:space="preserve">B1: </w:t>
                  </w:r>
                  <w:r>
                    <w:rPr>
                      <w:sz w:val="18"/>
                      <w:szCs w:val="18"/>
                    </w:rPr>
                    <w:t>UHC</w:t>
                  </w:r>
                  <w:r w:rsidRPr="00725600">
                    <w:rPr>
                      <w:sz w:val="18"/>
                      <w:szCs w:val="18"/>
                    </w:rPr>
                    <w:t>: O</w:t>
                  </w:r>
                  <w:r>
                    <w:rPr>
                      <w:sz w:val="18"/>
                      <w:szCs w:val="18"/>
                    </w:rPr>
                    <w:t>nly About Financial Protection?</w:t>
                  </w:r>
                </w:p>
                <w:p w:rsidR="00725600" w:rsidRPr="00725600" w:rsidRDefault="00725600" w:rsidP="00725600">
                  <w:pPr>
                    <w:spacing w:after="0" w:line="240" w:lineRule="auto"/>
                    <w:rPr>
                      <w:sz w:val="18"/>
                      <w:szCs w:val="18"/>
                    </w:rPr>
                  </w:pPr>
                  <w:r w:rsidRPr="00725600">
                    <w:rPr>
                      <w:sz w:val="18"/>
                      <w:szCs w:val="18"/>
                    </w:rPr>
                    <w:t xml:space="preserve">B2: Community Control </w:t>
                  </w:r>
                  <w:r>
                    <w:rPr>
                      <w:sz w:val="18"/>
                      <w:szCs w:val="18"/>
                    </w:rPr>
                    <w:t>in PHC</w:t>
                  </w:r>
                </w:p>
                <w:p w:rsidR="00725600" w:rsidRPr="00725600" w:rsidRDefault="00725600" w:rsidP="00725600">
                  <w:pPr>
                    <w:spacing w:after="0" w:line="240" w:lineRule="auto"/>
                    <w:rPr>
                      <w:sz w:val="18"/>
                      <w:szCs w:val="18"/>
                    </w:rPr>
                  </w:pPr>
                  <w:r w:rsidRPr="00725600">
                    <w:rPr>
                      <w:sz w:val="18"/>
                      <w:szCs w:val="18"/>
                    </w:rPr>
                    <w:t>B3: Healthcare in the US: Understanding the Medical-Industrial Complex</w:t>
                  </w:r>
                  <w:r w:rsidRPr="00725600">
                    <w:rPr>
                      <w:sz w:val="18"/>
                      <w:szCs w:val="18"/>
                    </w:rPr>
                    <w:tab/>
                  </w:r>
                </w:p>
                <w:p w:rsidR="00725600" w:rsidRPr="00725600" w:rsidRDefault="00725600" w:rsidP="00725600">
                  <w:pPr>
                    <w:spacing w:after="0" w:line="240" w:lineRule="auto"/>
                    <w:rPr>
                      <w:sz w:val="18"/>
                      <w:szCs w:val="18"/>
                    </w:rPr>
                  </w:pPr>
                  <w:proofErr w:type="gramStart"/>
                  <w:r w:rsidRPr="00725600">
                    <w:rPr>
                      <w:sz w:val="18"/>
                      <w:szCs w:val="18"/>
                    </w:rPr>
                    <w:t>B4 :</w:t>
                  </w:r>
                  <w:proofErr w:type="gramEnd"/>
                  <w:r w:rsidRPr="00725600">
                    <w:rPr>
                      <w:sz w:val="18"/>
                      <w:szCs w:val="18"/>
                    </w:rPr>
                    <w:t xml:space="preserve"> Struggle of Health Workers in South Africa</w:t>
                  </w:r>
                  <w:r w:rsidRPr="00725600">
                    <w:rPr>
                      <w:sz w:val="18"/>
                      <w:szCs w:val="18"/>
                    </w:rPr>
                    <w:tab/>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B5: How</w:t>
                  </w:r>
                  <w:r>
                    <w:rPr>
                      <w:sz w:val="18"/>
                      <w:szCs w:val="18"/>
                    </w:rPr>
                    <w:t xml:space="preserve"> PPPs undermine public services</w:t>
                  </w:r>
                </w:p>
                <w:p w:rsidR="00725600" w:rsidRPr="00725600" w:rsidRDefault="00725600" w:rsidP="00725600">
                  <w:pPr>
                    <w:spacing w:after="0" w:line="240" w:lineRule="auto"/>
                    <w:rPr>
                      <w:sz w:val="18"/>
                      <w:szCs w:val="18"/>
                    </w:rPr>
                  </w:pPr>
                  <w:r w:rsidRPr="00725600">
                    <w:rPr>
                      <w:sz w:val="18"/>
                      <w:szCs w:val="18"/>
                    </w:rPr>
                    <w:t xml:space="preserve">B6: Access </w:t>
                  </w:r>
                  <w:r>
                    <w:rPr>
                      <w:sz w:val="18"/>
                      <w:szCs w:val="18"/>
                    </w:rPr>
                    <w:t xml:space="preserve">to Healthcare of Migrants in EU </w:t>
                  </w:r>
                  <w:r w:rsidRPr="00725600">
                    <w:rPr>
                      <w:sz w:val="18"/>
                      <w:szCs w:val="18"/>
                    </w:rPr>
                    <w:t xml:space="preserve">B7: </w:t>
                  </w:r>
                  <w:proofErr w:type="spellStart"/>
                  <w:r w:rsidRPr="00725600">
                    <w:rPr>
                      <w:sz w:val="18"/>
                      <w:szCs w:val="18"/>
                    </w:rPr>
                    <w:t>Informalisation</w:t>
                  </w:r>
                  <w:proofErr w:type="spellEnd"/>
                  <w:r w:rsidRPr="00725600">
                    <w:rPr>
                      <w:sz w:val="18"/>
                      <w:szCs w:val="18"/>
                    </w:rPr>
                    <w:t xml:space="preserve"> of Employment in Public Health Services in South Asia</w:t>
                  </w:r>
                  <w:r w:rsidRPr="00725600">
                    <w:rPr>
                      <w:sz w:val="18"/>
                      <w:szCs w:val="18"/>
                    </w:rPr>
                    <w:tab/>
                  </w:r>
                </w:p>
                <w:p w:rsidR="00725600" w:rsidRPr="00725600" w:rsidRDefault="00725600" w:rsidP="00725600">
                  <w:pPr>
                    <w:spacing w:after="0" w:line="240" w:lineRule="auto"/>
                    <w:rPr>
                      <w:sz w:val="18"/>
                      <w:szCs w:val="18"/>
                    </w:rPr>
                  </w:pPr>
                </w:p>
                <w:p w:rsidR="00725600" w:rsidRPr="00D669B0" w:rsidRDefault="00725600" w:rsidP="00725600">
                  <w:pPr>
                    <w:spacing w:after="0" w:line="240" w:lineRule="auto"/>
                    <w:rPr>
                      <w:b/>
                      <w:color w:val="FF0000"/>
                      <w:sz w:val="18"/>
                      <w:szCs w:val="18"/>
                    </w:rPr>
                  </w:pPr>
                  <w:r w:rsidRPr="00D669B0">
                    <w:rPr>
                      <w:b/>
                      <w:color w:val="FF0000"/>
                      <w:sz w:val="18"/>
                      <w:szCs w:val="18"/>
                    </w:rPr>
                    <w:t>C: Beyond health care</w:t>
                  </w:r>
                </w:p>
                <w:p w:rsidR="004C464B" w:rsidRDefault="00725600" w:rsidP="00725600">
                  <w:pPr>
                    <w:spacing w:after="0" w:line="240" w:lineRule="auto"/>
                    <w:rPr>
                      <w:sz w:val="18"/>
                      <w:szCs w:val="18"/>
                    </w:rPr>
                  </w:pPr>
                  <w:r w:rsidRPr="00725600">
                    <w:rPr>
                      <w:sz w:val="18"/>
                      <w:szCs w:val="18"/>
                    </w:rPr>
                    <w:t xml:space="preserve">C1: Climate Change, Environmental Degradation and Health: </w:t>
                  </w:r>
                </w:p>
                <w:p w:rsidR="00725600" w:rsidRPr="00725600" w:rsidRDefault="00725600" w:rsidP="00725600">
                  <w:pPr>
                    <w:spacing w:after="0" w:line="240" w:lineRule="auto"/>
                    <w:rPr>
                      <w:sz w:val="18"/>
                      <w:szCs w:val="18"/>
                    </w:rPr>
                  </w:pPr>
                  <w:r w:rsidRPr="00725600">
                    <w:rPr>
                      <w:sz w:val="18"/>
                      <w:szCs w:val="18"/>
                    </w:rPr>
                    <w:t xml:space="preserve">C2: Gendered approach to Reproductive </w:t>
                  </w:r>
                  <w:r w:rsidR="004C464B">
                    <w:rPr>
                      <w:sz w:val="18"/>
                      <w:szCs w:val="18"/>
                    </w:rPr>
                    <w:t xml:space="preserve">and Sexual Health and Rights </w:t>
                  </w:r>
                  <w:r w:rsidR="004C464B">
                    <w:rPr>
                      <w:sz w:val="18"/>
                      <w:szCs w:val="18"/>
                    </w:rPr>
                    <w:tab/>
                  </w:r>
                  <w:r w:rsidR="004C464B">
                    <w:rPr>
                      <w:sz w:val="18"/>
                      <w:szCs w:val="18"/>
                    </w:rPr>
                    <w:tab/>
                  </w:r>
                </w:p>
                <w:p w:rsidR="00725600" w:rsidRPr="00725600" w:rsidRDefault="00725600" w:rsidP="00725600">
                  <w:pPr>
                    <w:spacing w:after="0" w:line="240" w:lineRule="auto"/>
                    <w:rPr>
                      <w:sz w:val="18"/>
                      <w:szCs w:val="18"/>
                    </w:rPr>
                  </w:pPr>
                  <w:r w:rsidRPr="00725600">
                    <w:rPr>
                      <w:sz w:val="18"/>
                      <w:szCs w:val="18"/>
                    </w:rPr>
                    <w:t xml:space="preserve">C3: Health Reforms in Chile: Lack of Progress in Women's </w:t>
                  </w:r>
                  <w:r w:rsidR="004C464B">
                    <w:rPr>
                      <w:sz w:val="18"/>
                      <w:szCs w:val="18"/>
                    </w:rPr>
                    <w:t>SRHRs</w:t>
                  </w:r>
                  <w:r w:rsidRPr="00725600">
                    <w:rPr>
                      <w:sz w:val="18"/>
                      <w:szCs w:val="18"/>
                    </w:rPr>
                    <w:t xml:space="preserve"> </w:t>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C4: Trade Agreements and Health of Workers</w:t>
                  </w:r>
                  <w:r w:rsidRPr="00725600">
                    <w:rPr>
                      <w:sz w:val="18"/>
                      <w:szCs w:val="18"/>
                    </w:rPr>
                    <w:tab/>
                  </w:r>
                </w:p>
                <w:p w:rsidR="00725600" w:rsidRPr="00725600" w:rsidRDefault="00725600" w:rsidP="00725600">
                  <w:pPr>
                    <w:spacing w:after="0" w:line="240" w:lineRule="auto"/>
                    <w:rPr>
                      <w:sz w:val="18"/>
                      <w:szCs w:val="18"/>
                    </w:rPr>
                  </w:pPr>
                  <w:proofErr w:type="gramStart"/>
                  <w:r w:rsidRPr="00725600">
                    <w:rPr>
                      <w:sz w:val="18"/>
                      <w:szCs w:val="18"/>
                    </w:rPr>
                    <w:t>C5 :</w:t>
                  </w:r>
                  <w:proofErr w:type="gramEnd"/>
                  <w:r w:rsidRPr="00725600">
                    <w:rPr>
                      <w:sz w:val="18"/>
                      <w:szCs w:val="18"/>
                    </w:rPr>
                    <w:t xml:space="preserve"> Public Health in the Extractive Sector </w:t>
                  </w:r>
                </w:p>
                <w:p w:rsidR="00725600" w:rsidRPr="00725600" w:rsidRDefault="004C464B" w:rsidP="00725600">
                  <w:pPr>
                    <w:spacing w:after="0" w:line="240" w:lineRule="auto"/>
                    <w:rPr>
                      <w:sz w:val="18"/>
                      <w:szCs w:val="18"/>
                    </w:rPr>
                  </w:pPr>
                  <w:r>
                    <w:rPr>
                      <w:sz w:val="18"/>
                      <w:szCs w:val="18"/>
                    </w:rPr>
                    <w:t>C6: The War on Drugs</w:t>
                  </w:r>
                  <w:r w:rsidR="00725600" w:rsidRPr="00725600">
                    <w:rPr>
                      <w:sz w:val="18"/>
                      <w:szCs w:val="18"/>
                    </w:rPr>
                    <w:tab/>
                  </w:r>
                </w:p>
                <w:p w:rsidR="00725600" w:rsidRPr="00725600" w:rsidRDefault="00725600" w:rsidP="00725600">
                  <w:pPr>
                    <w:spacing w:after="0" w:line="240" w:lineRule="auto"/>
                    <w:rPr>
                      <w:sz w:val="18"/>
                      <w:szCs w:val="18"/>
                    </w:rPr>
                  </w:pPr>
                </w:p>
                <w:p w:rsidR="00725600" w:rsidRPr="00D669B0" w:rsidRDefault="00725600" w:rsidP="00725600">
                  <w:pPr>
                    <w:spacing w:after="0" w:line="240" w:lineRule="auto"/>
                    <w:rPr>
                      <w:b/>
                      <w:color w:val="FF0000"/>
                      <w:sz w:val="18"/>
                      <w:szCs w:val="18"/>
                    </w:rPr>
                  </w:pPr>
                  <w:r w:rsidRPr="00D669B0">
                    <w:rPr>
                      <w:b/>
                      <w:color w:val="FF0000"/>
                      <w:sz w:val="18"/>
                      <w:szCs w:val="18"/>
                    </w:rPr>
                    <w:t>D: Watching</w:t>
                  </w:r>
                </w:p>
                <w:p w:rsidR="00725600" w:rsidRPr="00725600" w:rsidRDefault="00725600" w:rsidP="00725600">
                  <w:pPr>
                    <w:spacing w:after="0" w:line="240" w:lineRule="auto"/>
                    <w:rPr>
                      <w:sz w:val="18"/>
                      <w:szCs w:val="18"/>
                    </w:rPr>
                  </w:pPr>
                  <w:r w:rsidRPr="00725600">
                    <w:rPr>
                      <w:sz w:val="18"/>
                      <w:szCs w:val="18"/>
                    </w:rPr>
                    <w:t xml:space="preserve">D1: Money Talks at the </w:t>
                  </w:r>
                  <w:r>
                    <w:rPr>
                      <w:sz w:val="18"/>
                      <w:szCs w:val="18"/>
                    </w:rPr>
                    <w:t>WHO</w:t>
                  </w:r>
                </w:p>
                <w:p w:rsidR="00725600" w:rsidRPr="00725600" w:rsidRDefault="00725600" w:rsidP="00725600">
                  <w:pPr>
                    <w:spacing w:after="0" w:line="240" w:lineRule="auto"/>
                    <w:rPr>
                      <w:sz w:val="18"/>
                      <w:szCs w:val="18"/>
                    </w:rPr>
                  </w:pPr>
                  <w:r w:rsidRPr="00725600">
                    <w:rPr>
                      <w:sz w:val="18"/>
                      <w:szCs w:val="18"/>
                    </w:rPr>
                    <w:t>D2: Private Philanthropic Foundations: What do they mean for Global Health?</w:t>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D3: Management Consulting Firms in Global Health</w:t>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D4: GAVI and Global Fund: Private Governance Structures</w:t>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D5: Investment Treaties: Holding Governments to ransom</w:t>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D6: Framin</w:t>
                  </w:r>
                  <w:r>
                    <w:rPr>
                      <w:sz w:val="18"/>
                      <w:szCs w:val="18"/>
                    </w:rPr>
                    <w:t>g of Health as a Security Issue</w:t>
                  </w:r>
                </w:p>
                <w:p w:rsidR="00725600" w:rsidRPr="00725600" w:rsidRDefault="00725600" w:rsidP="00725600">
                  <w:pPr>
                    <w:spacing w:after="0" w:line="240" w:lineRule="auto"/>
                    <w:rPr>
                      <w:sz w:val="18"/>
                      <w:szCs w:val="18"/>
                    </w:rPr>
                  </w:pPr>
                  <w:r w:rsidRPr="00725600">
                    <w:rPr>
                      <w:sz w:val="18"/>
                      <w:szCs w:val="18"/>
                    </w:rPr>
                    <w:t xml:space="preserve">D7: Politics of Data, Information </w:t>
                  </w:r>
                  <w:r>
                    <w:rPr>
                      <w:sz w:val="18"/>
                      <w:szCs w:val="18"/>
                    </w:rPr>
                    <w:t>&amp;</w:t>
                  </w:r>
                  <w:r w:rsidRPr="00725600">
                    <w:rPr>
                      <w:sz w:val="18"/>
                      <w:szCs w:val="18"/>
                    </w:rPr>
                    <w:t xml:space="preserve"> Knowledge</w:t>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 xml:space="preserve">D8: Access and Benefit Sharing: The </w:t>
                  </w:r>
                  <w:r w:rsidR="004C464B">
                    <w:rPr>
                      <w:sz w:val="18"/>
                      <w:szCs w:val="18"/>
                    </w:rPr>
                    <w:t>PIP</w:t>
                  </w:r>
                  <w:r w:rsidRPr="00725600">
                    <w:rPr>
                      <w:sz w:val="18"/>
                      <w:szCs w:val="18"/>
                    </w:rPr>
                    <w:t xml:space="preserve"> Framework</w:t>
                  </w:r>
                  <w:r w:rsidRPr="00725600">
                    <w:rPr>
                      <w:sz w:val="18"/>
                      <w:szCs w:val="18"/>
                    </w:rPr>
                    <w:tab/>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D9: Total Sanitation programs at the cost of human dignity</w:t>
                  </w:r>
                  <w:r w:rsidRPr="00725600">
                    <w:rPr>
                      <w:sz w:val="18"/>
                      <w:szCs w:val="18"/>
                    </w:rPr>
                    <w:tab/>
                  </w:r>
                </w:p>
                <w:p w:rsidR="00725600" w:rsidRPr="00725600" w:rsidRDefault="00725600" w:rsidP="00725600">
                  <w:pPr>
                    <w:spacing w:after="0" w:line="240" w:lineRule="auto"/>
                    <w:rPr>
                      <w:b/>
                      <w:sz w:val="18"/>
                      <w:szCs w:val="18"/>
                    </w:rPr>
                  </w:pPr>
                </w:p>
                <w:p w:rsidR="00725600" w:rsidRPr="00D669B0" w:rsidRDefault="00725600" w:rsidP="00725600">
                  <w:pPr>
                    <w:spacing w:after="0" w:line="240" w:lineRule="auto"/>
                    <w:rPr>
                      <w:b/>
                      <w:color w:val="FF0000"/>
                      <w:sz w:val="18"/>
                      <w:szCs w:val="18"/>
                    </w:rPr>
                  </w:pPr>
                  <w:r w:rsidRPr="00D669B0">
                    <w:rPr>
                      <w:b/>
                      <w:color w:val="FF0000"/>
                      <w:sz w:val="18"/>
                      <w:szCs w:val="18"/>
                    </w:rPr>
                    <w:t>E: Resistance, Actions and Change</w:t>
                  </w:r>
                </w:p>
                <w:p w:rsidR="00725600" w:rsidRPr="00725600" w:rsidRDefault="00725600" w:rsidP="00725600">
                  <w:pPr>
                    <w:spacing w:after="0" w:line="240" w:lineRule="auto"/>
                    <w:rPr>
                      <w:sz w:val="18"/>
                      <w:szCs w:val="18"/>
                    </w:rPr>
                  </w:pPr>
                  <w:r w:rsidRPr="00725600">
                    <w:rPr>
                      <w:sz w:val="18"/>
                      <w:szCs w:val="18"/>
                    </w:rPr>
                    <w:t>E1: Social Movements Defend Progressive Health Reforms in El Salvador</w:t>
                  </w:r>
                  <w:r w:rsidRPr="00725600">
                    <w:rPr>
                      <w:sz w:val="18"/>
                      <w:szCs w:val="18"/>
                    </w:rPr>
                    <w:tab/>
                  </w:r>
                </w:p>
                <w:p w:rsidR="00725600" w:rsidRPr="00725600" w:rsidRDefault="00725600" w:rsidP="00725600">
                  <w:pPr>
                    <w:spacing w:after="0" w:line="240" w:lineRule="auto"/>
                    <w:rPr>
                      <w:sz w:val="18"/>
                      <w:szCs w:val="18"/>
                    </w:rPr>
                  </w:pPr>
                  <w:r w:rsidRPr="00725600">
                    <w:rPr>
                      <w:sz w:val="18"/>
                      <w:szCs w:val="18"/>
                    </w:rPr>
                    <w:t>E2: Contestations Concerning Management of Severe Acute Maln</w:t>
                  </w:r>
                  <w:r w:rsidR="004C464B">
                    <w:rPr>
                      <w:sz w:val="18"/>
                      <w:szCs w:val="18"/>
                    </w:rPr>
                    <w:t xml:space="preserve">utrition </w:t>
                  </w:r>
                </w:p>
                <w:p w:rsidR="00725600" w:rsidRPr="00725600" w:rsidRDefault="00725600" w:rsidP="00725600">
                  <w:pPr>
                    <w:spacing w:after="0" w:line="240" w:lineRule="auto"/>
                    <w:rPr>
                      <w:sz w:val="18"/>
                      <w:szCs w:val="18"/>
                    </w:rPr>
                  </w:pPr>
                  <w:r w:rsidRPr="00725600">
                    <w:rPr>
                      <w:sz w:val="18"/>
                      <w:szCs w:val="18"/>
                    </w:rPr>
                    <w:t>E3: People living with HIV in India: The Struggle for Access</w:t>
                  </w:r>
                  <w:r w:rsidRPr="00725600">
                    <w:rPr>
                      <w:sz w:val="18"/>
                      <w:szCs w:val="18"/>
                    </w:rPr>
                    <w:tab/>
                  </w:r>
                </w:p>
                <w:p w:rsidR="00725600" w:rsidRPr="00725600" w:rsidRDefault="00725600" w:rsidP="007256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spacing w:after="0" w:line="240" w:lineRule="auto"/>
                    <w:rPr>
                      <w:rFonts w:cs="Times New Roman"/>
                      <w:bCs/>
                      <w:sz w:val="18"/>
                      <w:szCs w:val="18"/>
                    </w:rPr>
                  </w:pPr>
                  <w:r w:rsidRPr="00725600">
                    <w:rPr>
                      <w:rFonts w:cs="Times New Roman"/>
                      <w:bCs/>
                      <w:sz w:val="18"/>
                      <w:szCs w:val="18"/>
                    </w:rPr>
                    <w:t>E4: Community engagement in the Struggle for Health in Italy</w:t>
                  </w:r>
                </w:p>
                <w:p w:rsidR="00725600" w:rsidRPr="00725600" w:rsidRDefault="00725600">
                  <w:pPr>
                    <w:rPr>
                      <w:sz w:val="18"/>
                      <w:szCs w:val="18"/>
                    </w:rPr>
                  </w:pPr>
                </w:p>
              </w:txbxContent>
            </v:textbox>
          </v:shape>
        </w:pict>
      </w:r>
      <w:r w:rsidR="00416056">
        <w:rPr>
          <w:noProof/>
          <w:lang w:eastAsia="zh-TW"/>
        </w:rPr>
        <w:pict>
          <v:shape id="_x0000_s1026" type="#_x0000_t202" style="position:absolute;margin-left:145.5pt;margin-top:-3.25pt;width:396.5pt;height:66.3pt;z-index:251660288;mso-height-percent:200;mso-position-horizontal-relative:text;mso-position-vertical-relative:text;mso-height-percent:200;mso-width-relative:margin;mso-height-relative:margin" strokecolor="white [3212]">
            <v:textbox style="mso-next-textbox:#_x0000_s1026;mso-fit-shape-to-text:t">
              <w:txbxContent>
                <w:p w:rsidR="00416056" w:rsidRPr="00D669B0" w:rsidRDefault="00416056" w:rsidP="00416056">
                  <w:pPr>
                    <w:spacing w:after="0" w:line="240" w:lineRule="auto"/>
                    <w:jc w:val="center"/>
                    <w:rPr>
                      <w:rFonts w:ascii="Verdana" w:hAnsi="Verdana" w:cs="Garamond"/>
                      <w:b/>
                      <w:color w:val="FF0000"/>
                      <w:sz w:val="60"/>
                      <w:szCs w:val="60"/>
                    </w:rPr>
                  </w:pPr>
                  <w:r w:rsidRPr="00D669B0">
                    <w:rPr>
                      <w:rFonts w:ascii="Verdana" w:hAnsi="Verdana" w:cs="Garamond"/>
                      <w:b/>
                      <w:color w:val="FF0000"/>
                      <w:sz w:val="60"/>
                      <w:szCs w:val="60"/>
                    </w:rPr>
                    <w:t>Global Health Watch 5</w:t>
                  </w:r>
                </w:p>
                <w:p w:rsidR="00416056" w:rsidRPr="00D669B0" w:rsidRDefault="00416056" w:rsidP="00416056">
                  <w:pPr>
                    <w:spacing w:after="0" w:line="240" w:lineRule="auto"/>
                    <w:jc w:val="center"/>
                    <w:rPr>
                      <w:rFonts w:ascii="Verdana" w:hAnsi="Verdana"/>
                      <w:sz w:val="18"/>
                    </w:rPr>
                  </w:pPr>
                  <w:r w:rsidRPr="00D669B0">
                    <w:rPr>
                      <w:rFonts w:ascii="Verdana" w:hAnsi="Verdana" w:cs="Garamond"/>
                      <w:b/>
                      <w:spacing w:val="-20"/>
                      <w:sz w:val="36"/>
                      <w:szCs w:val="44"/>
                    </w:rPr>
                    <w:t>An Alternative World Health Report</w:t>
                  </w:r>
                </w:p>
              </w:txbxContent>
            </v:textbox>
          </v:shape>
        </w:pict>
      </w:r>
      <w:r w:rsidR="00416056">
        <w:rPr>
          <w:noProof/>
        </w:rPr>
        <w:drawing>
          <wp:inline distT="0" distB="0" distL="0" distR="0">
            <wp:extent cx="1749813" cy="2676525"/>
            <wp:effectExtent l="19050" t="0" r="2787" b="0"/>
            <wp:docPr id="1" name="Picture 0" descr="GHW5 for catalo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W5 for catalogue.jpg"/>
                    <pic:cNvPicPr/>
                  </pic:nvPicPr>
                  <pic:blipFill>
                    <a:blip r:embed="rId5" cstate="print"/>
                    <a:stretch>
                      <a:fillRect/>
                    </a:stretch>
                  </pic:blipFill>
                  <pic:spPr>
                    <a:xfrm>
                      <a:off x="0" y="0"/>
                      <a:ext cx="1750987" cy="2678320"/>
                    </a:xfrm>
                    <a:prstGeom prst="rect">
                      <a:avLst/>
                    </a:prstGeom>
                  </pic:spPr>
                </pic:pic>
              </a:graphicData>
            </a:graphic>
          </wp:inline>
        </w:drawing>
      </w:r>
    </w:p>
    <w:p w:rsidR="001340AE" w:rsidRDefault="004A0148">
      <w:r>
        <w:rPr>
          <w:noProof/>
        </w:rPr>
        <w:drawing>
          <wp:anchor distT="0" distB="0" distL="114935" distR="114935" simplePos="0" relativeHeight="251671552" behindDoc="1" locked="0" layoutInCell="1" allowOverlap="1">
            <wp:simplePos x="0" y="0"/>
            <wp:positionH relativeFrom="column">
              <wp:posOffset>209550</wp:posOffset>
            </wp:positionH>
            <wp:positionV relativeFrom="paragraph">
              <wp:posOffset>6124575</wp:posOffset>
            </wp:positionV>
            <wp:extent cx="1024255" cy="1257300"/>
            <wp:effectExtent l="19050" t="0" r="4445"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024255" cy="1257300"/>
                    </a:xfrm>
                    <a:prstGeom prst="rect">
                      <a:avLst/>
                    </a:prstGeom>
                    <a:solidFill>
                      <a:srgbClr val="FFFFFF"/>
                    </a:solidFill>
                    <a:ln w="9525">
                      <a:noFill/>
                      <a:miter lim="800000"/>
                      <a:headEnd/>
                      <a:tailEnd/>
                    </a:ln>
                  </pic:spPr>
                </pic:pic>
              </a:graphicData>
            </a:graphic>
          </wp:anchor>
        </w:drawing>
      </w:r>
      <w:r w:rsidR="002D2426">
        <w:rPr>
          <w:noProof/>
          <w:lang w:eastAsia="zh-TW"/>
        </w:rPr>
        <w:pict>
          <v:shape id="_x0000_s1034" type="#_x0000_t202" style="position:absolute;margin-left:175.15pt;margin-top:492.75pt;width:162.8pt;height:71.6pt;z-index:251670528;mso-height-percent:200;mso-position-horizontal-relative:text;mso-position-vertical-relative:text;mso-height-percent:200;mso-width-relative:margin;mso-height-relative:margin" fillcolor="#c6d9f1 [671]">
            <v:textbox style="mso-next-textbox:#_x0000_s1034;mso-fit-shape-to-text:t">
              <w:txbxContent>
                <w:p w:rsidR="001C09B5" w:rsidRDefault="001C09B5" w:rsidP="001C09B5">
                  <w:pPr>
                    <w:autoSpaceDE w:val="0"/>
                    <w:autoSpaceDN w:val="0"/>
                    <w:adjustRightInd w:val="0"/>
                    <w:spacing w:after="0" w:line="240" w:lineRule="auto"/>
                    <w:rPr>
                      <w:rFonts w:ascii="TTE2045810t00" w:hAnsi="TTE2045810t00" w:cs="TTE2045810t00"/>
                      <w:color w:val="000000"/>
                    </w:rPr>
                  </w:pPr>
                  <w:r>
                    <w:rPr>
                      <w:rFonts w:ascii="TTE2045810t00" w:hAnsi="TTE2045810t00" w:cs="TTE2045810t00"/>
                      <w:color w:val="000000"/>
                    </w:rPr>
                    <w:t>Find out more by visiting:</w:t>
                  </w:r>
                </w:p>
                <w:p w:rsidR="001C09B5" w:rsidRDefault="001C09B5" w:rsidP="001C09B5">
                  <w:pPr>
                    <w:autoSpaceDE w:val="0"/>
                    <w:autoSpaceDN w:val="0"/>
                    <w:adjustRightInd w:val="0"/>
                    <w:spacing w:after="0" w:line="240" w:lineRule="auto"/>
                    <w:rPr>
                      <w:rFonts w:ascii="TTE2045810t00" w:hAnsi="TTE2045810t00" w:cs="TTE2045810t00"/>
                      <w:color w:val="000000"/>
                    </w:rPr>
                  </w:pPr>
                  <w:proofErr w:type="gramStart"/>
                  <w:r>
                    <w:rPr>
                      <w:rFonts w:ascii="TTE1BB5668t00" w:hAnsi="TTE1BB5668t00" w:cs="TTE1BB5668t00"/>
                      <w:color w:val="000000"/>
                      <w:sz w:val="24"/>
                      <w:szCs w:val="24"/>
                    </w:rPr>
                    <w:t>www.ghwatch.org</w:t>
                  </w:r>
                  <w:r>
                    <w:rPr>
                      <w:rFonts w:ascii="TTE2045810t00" w:hAnsi="TTE2045810t00" w:cs="TTE2045810t00"/>
                      <w:color w:val="000000"/>
                    </w:rPr>
                    <w:t>,</w:t>
                  </w:r>
                  <w:proofErr w:type="gramEnd"/>
                  <w:r>
                    <w:rPr>
                      <w:rFonts w:ascii="TTE2045810t00" w:hAnsi="TTE2045810t00" w:cs="TTE2045810t00"/>
                      <w:color w:val="000000"/>
                    </w:rPr>
                    <w:t xml:space="preserve"> or e-mail</w:t>
                  </w:r>
                </w:p>
                <w:p w:rsidR="001C09B5" w:rsidRDefault="001C09B5" w:rsidP="001C09B5">
                  <w:pPr>
                    <w:autoSpaceDE w:val="0"/>
                    <w:autoSpaceDN w:val="0"/>
                    <w:adjustRightInd w:val="0"/>
                    <w:spacing w:after="0" w:line="240" w:lineRule="auto"/>
                    <w:rPr>
                      <w:rFonts w:ascii="TTE2045810t00" w:hAnsi="TTE2045810t00" w:cs="TTE2045810t00"/>
                      <w:color w:val="0000FF"/>
                    </w:rPr>
                  </w:pPr>
                  <w:r>
                    <w:rPr>
                      <w:rFonts w:ascii="TTE2045810t00" w:hAnsi="TTE2045810t00" w:cs="TTE2045810t00"/>
                      <w:color w:val="0000FF"/>
                    </w:rPr>
                    <w:t>asengupta@phmovement.org</w:t>
                  </w:r>
                </w:p>
                <w:p w:rsidR="000143F8" w:rsidRDefault="001C09B5" w:rsidP="001C09B5">
                  <w:r>
                    <w:rPr>
                      <w:rFonts w:ascii="TTE2045810t00" w:hAnsi="TTE2045810t00" w:cs="TTE2045810t00"/>
                      <w:color w:val="0000FF"/>
                    </w:rPr>
                    <w:t>gargeya.t@phmovement.org</w:t>
                  </w:r>
                </w:p>
              </w:txbxContent>
            </v:textbox>
          </v:shape>
        </w:pict>
      </w:r>
      <w:r w:rsidR="002D2426">
        <w:rPr>
          <w:noProof/>
        </w:rPr>
        <w:drawing>
          <wp:anchor distT="0" distB="0" distL="114300" distR="114300" simplePos="0" relativeHeight="251665408" behindDoc="1" locked="0" layoutInCell="1" allowOverlap="1">
            <wp:simplePos x="0" y="0"/>
            <wp:positionH relativeFrom="column">
              <wp:posOffset>276225</wp:posOffset>
            </wp:positionH>
            <wp:positionV relativeFrom="paragraph">
              <wp:posOffset>3152775</wp:posOffset>
            </wp:positionV>
            <wp:extent cx="1162050" cy="657225"/>
            <wp:effectExtent l="19050" t="0" r="0" b="0"/>
            <wp:wrapNone/>
            <wp:docPr id="10" name="Picture 4"/>
            <wp:cNvGraphicFramePr/>
            <a:graphic xmlns:a="http://schemas.openxmlformats.org/drawingml/2006/main">
              <a:graphicData uri="http://schemas.openxmlformats.org/drawingml/2006/picture">
                <pic:pic xmlns:pic="http://schemas.openxmlformats.org/drawingml/2006/picture">
                  <pic:nvPicPr>
                    <pic:cNvPr id="10247" name="Picture 7"/>
                    <pic:cNvPicPr>
                      <a:picLocks noChangeAspect="1" noChangeArrowheads="1"/>
                    </pic:cNvPicPr>
                  </pic:nvPicPr>
                  <pic:blipFill>
                    <a:blip r:embed="rId7"/>
                    <a:srcRect/>
                    <a:stretch>
                      <a:fillRect/>
                    </a:stretch>
                  </pic:blipFill>
                  <pic:spPr bwMode="auto">
                    <a:xfrm>
                      <a:off x="0" y="0"/>
                      <a:ext cx="1162050" cy="657225"/>
                    </a:xfrm>
                    <a:prstGeom prst="rect">
                      <a:avLst/>
                    </a:prstGeom>
                    <a:noFill/>
                    <a:ln w="9525">
                      <a:noFill/>
                      <a:miter lim="800000"/>
                      <a:headEnd/>
                      <a:tailEnd/>
                    </a:ln>
                  </pic:spPr>
                </pic:pic>
              </a:graphicData>
            </a:graphic>
          </wp:anchor>
        </w:drawing>
      </w:r>
      <w:r w:rsidR="002D2426">
        <w:rPr>
          <w:noProof/>
        </w:rPr>
        <w:drawing>
          <wp:anchor distT="0" distB="0" distL="114300" distR="114300" simplePos="0" relativeHeight="251664384" behindDoc="1" locked="0" layoutInCell="1" allowOverlap="1">
            <wp:simplePos x="0" y="0"/>
            <wp:positionH relativeFrom="column">
              <wp:posOffset>-228600</wp:posOffset>
            </wp:positionH>
            <wp:positionV relativeFrom="paragraph">
              <wp:posOffset>2552700</wp:posOffset>
            </wp:positionV>
            <wp:extent cx="1971675" cy="352425"/>
            <wp:effectExtent l="19050" t="0" r="9525" b="0"/>
            <wp:wrapNone/>
            <wp:docPr id="9" name="Picture 3"/>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8"/>
                    <a:srcRect/>
                    <a:stretch>
                      <a:fillRect/>
                    </a:stretch>
                  </pic:blipFill>
                  <pic:spPr bwMode="auto">
                    <a:xfrm>
                      <a:off x="0" y="0"/>
                      <a:ext cx="1971675" cy="352425"/>
                    </a:xfrm>
                    <a:prstGeom prst="rect">
                      <a:avLst/>
                    </a:prstGeom>
                    <a:noFill/>
                    <a:ln w="9525">
                      <a:noFill/>
                      <a:miter lim="800000"/>
                      <a:headEnd/>
                      <a:tailEnd/>
                    </a:ln>
                  </pic:spPr>
                </pic:pic>
              </a:graphicData>
            </a:graphic>
          </wp:anchor>
        </w:drawing>
      </w:r>
      <w:r w:rsidR="002D2426">
        <w:rPr>
          <w:noProof/>
        </w:rPr>
        <w:drawing>
          <wp:anchor distT="0" distB="0" distL="114300" distR="114300" simplePos="0" relativeHeight="251663360" behindDoc="1" locked="0" layoutInCell="1" allowOverlap="1">
            <wp:simplePos x="0" y="0"/>
            <wp:positionH relativeFrom="column">
              <wp:posOffset>-228600</wp:posOffset>
            </wp:positionH>
            <wp:positionV relativeFrom="paragraph">
              <wp:posOffset>1885950</wp:posOffset>
            </wp:positionV>
            <wp:extent cx="1997710" cy="390525"/>
            <wp:effectExtent l="19050" t="0" r="2540" b="0"/>
            <wp:wrapNone/>
            <wp:docPr id="3" name="Picture 2"/>
            <wp:cNvGraphicFramePr/>
            <a:graphic xmlns:a="http://schemas.openxmlformats.org/drawingml/2006/main">
              <a:graphicData uri="http://schemas.openxmlformats.org/drawingml/2006/picture">
                <pic:pic xmlns:pic="http://schemas.openxmlformats.org/drawingml/2006/picture">
                  <pic:nvPicPr>
                    <pic:cNvPr id="10245" name="Picture 5"/>
                    <pic:cNvPicPr>
                      <a:picLocks noChangeAspect="1" noChangeArrowheads="1"/>
                    </pic:cNvPicPr>
                  </pic:nvPicPr>
                  <pic:blipFill>
                    <a:blip r:embed="rId9"/>
                    <a:srcRect/>
                    <a:stretch>
                      <a:fillRect/>
                    </a:stretch>
                  </pic:blipFill>
                  <pic:spPr bwMode="auto">
                    <a:xfrm>
                      <a:off x="0" y="0"/>
                      <a:ext cx="1997710" cy="390525"/>
                    </a:xfrm>
                    <a:prstGeom prst="rect">
                      <a:avLst/>
                    </a:prstGeom>
                    <a:noFill/>
                    <a:ln w="9525">
                      <a:noFill/>
                      <a:miter lim="800000"/>
                      <a:headEnd/>
                      <a:tailEnd/>
                    </a:ln>
                  </pic:spPr>
                </pic:pic>
              </a:graphicData>
            </a:graphic>
          </wp:anchor>
        </w:drawing>
      </w:r>
      <w:r w:rsidR="002D2426">
        <w:rPr>
          <w:noProof/>
        </w:rPr>
        <w:drawing>
          <wp:anchor distT="0" distB="0" distL="114935" distR="114935" simplePos="0" relativeHeight="251662336" behindDoc="0" locked="0" layoutInCell="1" allowOverlap="1">
            <wp:simplePos x="0" y="0"/>
            <wp:positionH relativeFrom="column">
              <wp:posOffset>610870</wp:posOffset>
            </wp:positionH>
            <wp:positionV relativeFrom="paragraph">
              <wp:posOffset>790575</wp:posOffset>
            </wp:positionV>
            <wp:extent cx="1158240" cy="647700"/>
            <wp:effectExtent l="1905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158240" cy="647700"/>
                    </a:xfrm>
                    <a:prstGeom prst="rect">
                      <a:avLst/>
                    </a:prstGeom>
                    <a:solidFill>
                      <a:srgbClr val="FFFFFF"/>
                    </a:solidFill>
                    <a:ln w="9525">
                      <a:noFill/>
                      <a:miter lim="800000"/>
                      <a:headEnd/>
                      <a:tailEnd/>
                    </a:ln>
                  </pic:spPr>
                </pic:pic>
              </a:graphicData>
            </a:graphic>
          </wp:anchor>
        </w:drawing>
      </w:r>
      <w:r w:rsidR="002D2426">
        <w:rPr>
          <w:noProof/>
        </w:rPr>
        <w:drawing>
          <wp:anchor distT="0" distB="0" distL="114935" distR="114935" simplePos="0" relativeHeight="251661312" behindDoc="0" locked="0" layoutInCell="1" allowOverlap="1">
            <wp:simplePos x="0" y="0"/>
            <wp:positionH relativeFrom="column">
              <wp:posOffset>-228600</wp:posOffset>
            </wp:positionH>
            <wp:positionV relativeFrom="paragraph">
              <wp:posOffset>742950</wp:posOffset>
            </wp:positionV>
            <wp:extent cx="723900" cy="909084"/>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23900" cy="909084"/>
                    </a:xfrm>
                    <a:prstGeom prst="rect">
                      <a:avLst/>
                    </a:prstGeom>
                    <a:solidFill>
                      <a:srgbClr val="FFFFFF"/>
                    </a:solidFill>
                    <a:ln w="9525">
                      <a:noFill/>
                      <a:miter lim="800000"/>
                      <a:headEnd/>
                      <a:tailEnd/>
                    </a:ln>
                  </pic:spPr>
                </pic:pic>
              </a:graphicData>
            </a:graphic>
          </wp:anchor>
        </w:drawing>
      </w:r>
    </w:p>
    <w:sectPr w:rsidR="001340AE" w:rsidSect="0041605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ircularPro-Bold">
    <w:panose1 w:val="00000000000000000000"/>
    <w:charset w:val="00"/>
    <w:family w:val="swiss"/>
    <w:notTrueType/>
    <w:pitch w:val="default"/>
    <w:sig w:usb0="00000003" w:usb1="00000000" w:usb2="00000000" w:usb3="00000000" w:csb0="00000001" w:csb1="00000000"/>
  </w:font>
  <w:font w:name="CircularPro-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E2045810t00">
    <w:panose1 w:val="00000000000000000000"/>
    <w:charset w:val="00"/>
    <w:family w:val="auto"/>
    <w:notTrueType/>
    <w:pitch w:val="default"/>
    <w:sig w:usb0="00000003" w:usb1="00000000" w:usb2="00000000" w:usb3="00000000" w:csb0="00000001" w:csb1="00000000"/>
  </w:font>
  <w:font w:name="TTE1BB566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16056"/>
    <w:rsid w:val="000143F8"/>
    <w:rsid w:val="001340AE"/>
    <w:rsid w:val="001C09B5"/>
    <w:rsid w:val="002D2426"/>
    <w:rsid w:val="00416056"/>
    <w:rsid w:val="004A0148"/>
    <w:rsid w:val="004C464B"/>
    <w:rsid w:val="00725600"/>
    <w:rsid w:val="008C6D04"/>
    <w:rsid w:val="00A011AE"/>
    <w:rsid w:val="00A24E91"/>
    <w:rsid w:val="00D66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A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SEN GUPTA</dc:creator>
  <cp:lastModifiedBy>AMIT SEN GUPTA</cp:lastModifiedBy>
  <cp:revision>2</cp:revision>
  <dcterms:created xsi:type="dcterms:W3CDTF">2018-02-26T14:34:00Z</dcterms:created>
  <dcterms:modified xsi:type="dcterms:W3CDTF">2018-02-26T14:34:00Z</dcterms:modified>
</cp:coreProperties>
</file>